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F4F" w:rsidRDefault="004C0E36">
      <w:pPr>
        <w:pStyle w:val="Textoindependiente"/>
        <w:rPr>
          <w:rFonts w:ascii="Times New Roman"/>
          <w:sz w:val="20"/>
        </w:rPr>
      </w:pPr>
      <w:bookmarkStart w:id="0" w:name="_GoBack"/>
      <w:r>
        <w:pict>
          <v:group id="_x0000_s1026" style="position:absolute;margin-left:0;margin-top:0;width:540pt;height:10in;z-index:-251658240;mso-position-horizontal-relative:page;mso-position-vertical-relative:page" coordsize="10800,14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0800;height:14400">
              <v:imagedata r:id="rId8" o:title=""/>
            </v:shape>
            <v:shape id="_x0000_s1030" type="#_x0000_t75" style="position:absolute;left:1577;top:2405;width:7573;height:219">
              <v:imagedata r:id="rId9" o:title=""/>
            </v:shape>
            <v:shape id="_x0000_s1029" type="#_x0000_t75" style="position:absolute;left:1577;top:2615;width:371;height:4190">
              <v:imagedata r:id="rId10" o:title=""/>
            </v:shape>
            <v:shape id="_x0000_s1028" type="#_x0000_t75" style="position:absolute;width:4003;height:1153">
              <v:imagedata r:id="rId11" o:title=""/>
            </v:shape>
            <v:shape id="_x0000_s1027" type="#_x0000_t75" style="position:absolute;left:4492;top:6563;width:4083;height:118">
              <v:imagedata r:id="rId12" o:title=""/>
            </v:shape>
            <w10:wrap anchorx="page" anchory="page"/>
          </v:group>
        </w:pict>
      </w:r>
      <w:bookmarkEnd w:id="0"/>
    </w:p>
    <w:p w:rsidR="006C6F4F" w:rsidRDefault="006C6F4F">
      <w:pPr>
        <w:pStyle w:val="Textoindependiente"/>
        <w:rPr>
          <w:rFonts w:ascii="Times New Roman"/>
          <w:sz w:val="20"/>
        </w:rPr>
      </w:pPr>
    </w:p>
    <w:p w:rsidR="006C6F4F" w:rsidRDefault="006C6F4F">
      <w:pPr>
        <w:pStyle w:val="Textoindependiente"/>
        <w:rPr>
          <w:rFonts w:ascii="Times New Roman"/>
          <w:sz w:val="20"/>
        </w:rPr>
      </w:pPr>
    </w:p>
    <w:p w:rsidR="006C6F4F" w:rsidRDefault="006C6F4F">
      <w:pPr>
        <w:pStyle w:val="Textoindependiente"/>
        <w:rPr>
          <w:rFonts w:ascii="Times New Roman"/>
          <w:sz w:val="20"/>
        </w:rPr>
      </w:pPr>
    </w:p>
    <w:p w:rsidR="006C6F4F" w:rsidRDefault="006C6F4F">
      <w:pPr>
        <w:pStyle w:val="Textoindependiente"/>
        <w:rPr>
          <w:rFonts w:ascii="Times New Roman"/>
          <w:sz w:val="20"/>
        </w:rPr>
      </w:pPr>
    </w:p>
    <w:p w:rsidR="006C6F4F" w:rsidRDefault="004C0E36">
      <w:pPr>
        <w:pStyle w:val="Ttulo"/>
        <w:spacing w:line="254" w:lineRule="auto"/>
      </w:pPr>
      <w:r>
        <w:rPr>
          <w:color w:val="1F487C"/>
        </w:rPr>
        <w:t>PLAN</w:t>
      </w:r>
      <w:r>
        <w:rPr>
          <w:color w:val="1F487C"/>
          <w:spacing w:val="-18"/>
        </w:rPr>
        <w:t xml:space="preserve"> </w:t>
      </w:r>
      <w:r>
        <w:rPr>
          <w:color w:val="1F487C"/>
        </w:rPr>
        <w:t>ESTRATÉGICO DE</w:t>
      </w:r>
      <w:r>
        <w:rPr>
          <w:color w:val="1F487C"/>
          <w:spacing w:val="-7"/>
        </w:rPr>
        <w:t xml:space="preserve"> </w:t>
      </w:r>
      <w:r>
        <w:rPr>
          <w:color w:val="1F487C"/>
        </w:rPr>
        <w:t>SUBVENCIONES</w:t>
      </w:r>
    </w:p>
    <w:p w:rsidR="006C6F4F" w:rsidRDefault="006C6F4F">
      <w:pPr>
        <w:pStyle w:val="Textoindependiente"/>
        <w:rPr>
          <w:rFonts w:ascii="Berlin Sans FB Demi"/>
          <w:b/>
          <w:sz w:val="80"/>
        </w:rPr>
      </w:pPr>
    </w:p>
    <w:p w:rsidR="006C6F4F" w:rsidRDefault="004C0E36">
      <w:pPr>
        <w:spacing w:before="650"/>
        <w:ind w:left="2952"/>
        <w:rPr>
          <w:rFonts w:ascii="Berlin Sans FB Demi" w:hAnsi="Berlin Sans FB Demi"/>
          <w:b/>
          <w:sz w:val="48"/>
        </w:rPr>
      </w:pPr>
      <w:r>
        <w:rPr>
          <w:rFonts w:ascii="Berlin Sans FB Demi" w:hAnsi="Berlin Sans FB Demi"/>
          <w:b/>
          <w:smallCaps/>
          <w:color w:val="1F487C"/>
          <w:w w:val="95"/>
          <w:sz w:val="48"/>
        </w:rPr>
        <w:t>Act</w:t>
      </w:r>
      <w:r>
        <w:rPr>
          <w:rFonts w:ascii="Berlin Sans FB Demi" w:hAnsi="Berlin Sans FB Demi"/>
          <w:b/>
          <w:smallCaps/>
          <w:color w:val="1F487C"/>
          <w:spacing w:val="1"/>
          <w:w w:val="95"/>
          <w:sz w:val="48"/>
        </w:rPr>
        <w:t>u</w:t>
      </w:r>
      <w:r>
        <w:rPr>
          <w:rFonts w:ascii="Berlin Sans FB Demi" w:hAnsi="Berlin Sans FB Demi"/>
          <w:b/>
          <w:color w:val="1F487C"/>
          <w:sz w:val="48"/>
        </w:rPr>
        <w:t>aliz</w:t>
      </w:r>
      <w:r>
        <w:rPr>
          <w:rFonts w:ascii="Berlin Sans FB Demi" w:hAnsi="Berlin Sans FB Demi"/>
          <w:b/>
          <w:color w:val="1F487C"/>
          <w:spacing w:val="1"/>
          <w:sz w:val="48"/>
        </w:rPr>
        <w:t>a</w:t>
      </w:r>
      <w:r>
        <w:rPr>
          <w:rFonts w:ascii="Berlin Sans FB Demi" w:hAnsi="Berlin Sans FB Demi"/>
          <w:b/>
          <w:color w:val="1F487C"/>
          <w:spacing w:val="-1"/>
          <w:sz w:val="48"/>
        </w:rPr>
        <w:t>ció</w:t>
      </w:r>
      <w:r>
        <w:rPr>
          <w:rFonts w:ascii="Berlin Sans FB Demi" w:hAnsi="Berlin Sans FB Demi"/>
          <w:b/>
          <w:color w:val="1F487C"/>
          <w:sz w:val="48"/>
        </w:rPr>
        <w:t>n</w:t>
      </w:r>
      <w:r>
        <w:rPr>
          <w:rFonts w:ascii="Berlin Sans FB Demi" w:hAnsi="Berlin Sans FB Demi"/>
          <w:b/>
          <w:color w:val="1F487C"/>
          <w:spacing w:val="-1"/>
          <w:sz w:val="48"/>
        </w:rPr>
        <w:t xml:space="preserve"> </w:t>
      </w:r>
      <w:r>
        <w:rPr>
          <w:rFonts w:ascii="Berlin Sans FB Demi" w:hAnsi="Berlin Sans FB Demi"/>
          <w:b/>
          <w:color w:val="1F487C"/>
          <w:spacing w:val="-2"/>
          <w:sz w:val="48"/>
        </w:rPr>
        <w:t>2</w:t>
      </w:r>
      <w:r>
        <w:rPr>
          <w:rFonts w:ascii="Berlin Sans FB Demi" w:hAnsi="Berlin Sans FB Demi"/>
          <w:b/>
          <w:color w:val="1F487C"/>
          <w:sz w:val="48"/>
        </w:rPr>
        <w:t>020</w:t>
      </w:r>
    </w:p>
    <w:p w:rsidR="006C6F4F" w:rsidRDefault="006C6F4F">
      <w:pPr>
        <w:rPr>
          <w:rFonts w:ascii="Berlin Sans FB Demi" w:hAnsi="Berlin Sans FB Demi"/>
          <w:sz w:val="48"/>
        </w:rPr>
        <w:sectPr w:rsidR="006C6F4F">
          <w:type w:val="continuous"/>
          <w:pgSz w:w="10800" w:h="14400"/>
          <w:pgMar w:top="1360" w:right="1520" w:bottom="280" w:left="1520" w:header="720" w:footer="720" w:gutter="0"/>
          <w:cols w:space="720"/>
        </w:sectPr>
      </w:pPr>
    </w:p>
    <w:p w:rsidR="006C6F4F" w:rsidRDefault="006C6F4F">
      <w:pPr>
        <w:pStyle w:val="Textoindependiente"/>
        <w:rPr>
          <w:rFonts w:ascii="Berlin Sans FB Demi"/>
          <w:b/>
          <w:sz w:val="20"/>
        </w:rPr>
      </w:pPr>
    </w:p>
    <w:p w:rsidR="006C6F4F" w:rsidRDefault="006C6F4F">
      <w:pPr>
        <w:pStyle w:val="Textoindependiente"/>
        <w:rPr>
          <w:rFonts w:ascii="Berlin Sans FB Demi"/>
          <w:b/>
          <w:sz w:val="20"/>
        </w:rPr>
      </w:pPr>
    </w:p>
    <w:p w:rsidR="006C6F4F" w:rsidRDefault="006C6F4F">
      <w:pPr>
        <w:pStyle w:val="Textoindependiente"/>
        <w:rPr>
          <w:rFonts w:ascii="Berlin Sans FB Demi"/>
          <w:b/>
          <w:sz w:val="20"/>
        </w:rPr>
      </w:pPr>
    </w:p>
    <w:p w:rsidR="006C6F4F" w:rsidRDefault="004C0E36">
      <w:pPr>
        <w:pStyle w:val="Ttulo1"/>
        <w:numPr>
          <w:ilvl w:val="0"/>
          <w:numId w:val="5"/>
        </w:numPr>
        <w:tabs>
          <w:tab w:val="left" w:pos="443"/>
        </w:tabs>
        <w:spacing w:before="238"/>
      </w:pPr>
      <w:r>
        <w:t>ANTECEDENTES.</w:t>
      </w:r>
    </w:p>
    <w:p w:rsidR="006C6F4F" w:rsidRDefault="006C6F4F">
      <w:pPr>
        <w:pStyle w:val="Textoindependiente"/>
        <w:spacing w:before="1"/>
        <w:rPr>
          <w:b/>
        </w:rPr>
      </w:pPr>
    </w:p>
    <w:p w:rsidR="006C6F4F" w:rsidRDefault="004C0E36">
      <w:pPr>
        <w:pStyle w:val="Textoindependiente"/>
        <w:ind w:left="222" w:right="1116"/>
        <w:jc w:val="both"/>
      </w:pPr>
      <w:r>
        <w:t>El artículo 8 de la Ley 38/2003, de 17 de noviembre, General de Subvenciones, establece que los órganos de las administraciones públicas o cualesquiera entes que propongan el establecimiento de subvenciones deberán concretar en un Plan Estratégico de Subve</w:t>
      </w:r>
      <w:r>
        <w:t>nciones (PES) los objetivos y efectos que se pretenden con su aplicación, el plazo necesario para su consecución, los costes previsibles y sus fuentes de financiación, supeditando todo ello al cumplimiento de los objetivos de estabilidad</w:t>
      </w:r>
      <w:r>
        <w:rPr>
          <w:spacing w:val="-8"/>
        </w:rPr>
        <w:t xml:space="preserve"> </w:t>
      </w:r>
      <w:r>
        <w:t>presupuestaria.</w:t>
      </w:r>
    </w:p>
    <w:p w:rsidR="006C6F4F" w:rsidRDefault="006C6F4F">
      <w:pPr>
        <w:pStyle w:val="Textoindependiente"/>
      </w:pPr>
    </w:p>
    <w:p w:rsidR="006C6F4F" w:rsidRDefault="004C0E36">
      <w:pPr>
        <w:pStyle w:val="Textoindependiente"/>
        <w:ind w:left="222" w:right="1118"/>
        <w:jc w:val="both"/>
      </w:pPr>
      <w:r>
        <w:t>Por otro lado, de la regulación contenida en los artículos 10 a 15 del Real Decreto 887/2006, de 21 de julio, por el que se aprueba el Reglamento de la Ley 38/2003, de 17 de noviembre, General de Subvenciones se infiere, entre otras precisiones, que cada M</w:t>
      </w:r>
      <w:r>
        <w:t>inisterio aprobará un PES que abarcará las subvenciones tanto de sus órganos como de los organismos y demás entes públicos a él vinculados. Dicho Plan, que normalmente tendrá un periodo de vigencia de tres años, habrá de remitirse posteriormente a la Secre</w:t>
      </w:r>
      <w:r>
        <w:t>taría de Estado de Presupuestos y Gastos y a las Cortes Generales para su</w:t>
      </w:r>
      <w:r>
        <w:rPr>
          <w:spacing w:val="-9"/>
        </w:rPr>
        <w:t xml:space="preserve"> </w:t>
      </w:r>
      <w:r>
        <w:t>conocimiento.</w:t>
      </w:r>
    </w:p>
    <w:p w:rsidR="006C6F4F" w:rsidRDefault="006C6F4F">
      <w:pPr>
        <w:pStyle w:val="Textoindependiente"/>
      </w:pPr>
    </w:p>
    <w:p w:rsidR="006C6F4F" w:rsidRDefault="004C0E36">
      <w:pPr>
        <w:pStyle w:val="Textoindependiente"/>
        <w:ind w:left="222" w:right="1117"/>
        <w:jc w:val="both"/>
      </w:pPr>
      <w:r>
        <w:t>La finalidad de estos Planes es lograr la racionalización de la concesión de las subvenciones sobre los principios de eficacia de los objetivos, de eficiencia en la as</w:t>
      </w:r>
      <w:r>
        <w:t>ignación y utilización de los recursos públicos, así como la estabilidad presupuestaria.</w:t>
      </w:r>
    </w:p>
    <w:p w:rsidR="006C6F4F" w:rsidRDefault="006C6F4F">
      <w:pPr>
        <w:pStyle w:val="Textoindependiente"/>
        <w:spacing w:before="2"/>
        <w:rPr>
          <w:sz w:val="36"/>
        </w:rPr>
      </w:pPr>
    </w:p>
    <w:p w:rsidR="006C6F4F" w:rsidRDefault="004C0E36">
      <w:pPr>
        <w:pStyle w:val="Textoindependiente"/>
        <w:ind w:left="222" w:right="1114"/>
        <w:jc w:val="both"/>
      </w:pPr>
      <w:r>
        <w:t>No obstante, hay que subrayar que los PES son instrumentos de gestión de carácter programático que carecen de rango normativo. Por este motivo su virtualidad se despliega únicamente en el ámbito interno de la administración pública implicada, no existiendo</w:t>
      </w:r>
      <w:r>
        <w:t xml:space="preserve"> una incidencia directa en la esfera de los particulares al no crearse frente a éstos obligaciones de ningún tipo, ya que su principal condicionante se encuentra en las disponibilidades presupuestarias de cada ejercicio.</w:t>
      </w:r>
    </w:p>
    <w:p w:rsidR="006C6F4F" w:rsidRDefault="006C6F4F">
      <w:pPr>
        <w:pStyle w:val="Textoindependiente"/>
        <w:rPr>
          <w:sz w:val="28"/>
        </w:rPr>
      </w:pPr>
    </w:p>
    <w:p w:rsidR="006C6F4F" w:rsidRDefault="004C0E36">
      <w:pPr>
        <w:pStyle w:val="Ttulo1"/>
        <w:numPr>
          <w:ilvl w:val="0"/>
          <w:numId w:val="5"/>
        </w:numPr>
        <w:tabs>
          <w:tab w:val="left" w:pos="479"/>
        </w:tabs>
        <w:spacing w:before="184"/>
        <w:ind w:left="222" w:right="1117" w:firstLine="0"/>
      </w:pPr>
      <w:r>
        <w:t>PLAN ESTRATÉGICO DE SUBVENCIONES 2</w:t>
      </w:r>
      <w:r>
        <w:t>018-2020 DEL MINISTERIO DE SANIDAD, CONSUMO Y BIENESTAR SOCIAL Y SUS OBJETIVOS</w:t>
      </w:r>
      <w:r>
        <w:rPr>
          <w:spacing w:val="-6"/>
        </w:rPr>
        <w:t xml:space="preserve"> </w:t>
      </w:r>
      <w:r>
        <w:t>ESTRÁTEGICOS</w:t>
      </w:r>
    </w:p>
    <w:p w:rsidR="006C6F4F" w:rsidRDefault="006C6F4F">
      <w:pPr>
        <w:pStyle w:val="Textoindependiente"/>
        <w:rPr>
          <w:b/>
        </w:rPr>
      </w:pPr>
    </w:p>
    <w:p w:rsidR="006C6F4F" w:rsidRDefault="004C0E36">
      <w:pPr>
        <w:pStyle w:val="Textoindependiente"/>
        <w:ind w:left="222" w:right="1126"/>
        <w:jc w:val="both"/>
      </w:pPr>
      <w:r>
        <w:t>El Plan Estratégico de Subvenciones del Ministerio de Sanidad, Consumo y Bienestar Social (MSCBS) fue aprobado por Orden ministerial de fecha 20 de julio de 2018.</w:t>
      </w:r>
    </w:p>
    <w:p w:rsidR="006C6F4F" w:rsidRDefault="006C6F4F">
      <w:pPr>
        <w:pStyle w:val="Textoindependiente"/>
        <w:spacing w:before="11"/>
        <w:rPr>
          <w:sz w:val="23"/>
        </w:rPr>
      </w:pPr>
    </w:p>
    <w:p w:rsidR="006C6F4F" w:rsidRDefault="004C0E36">
      <w:pPr>
        <w:pStyle w:val="Textoindependiente"/>
        <w:ind w:left="222" w:right="1117"/>
        <w:jc w:val="both"/>
      </w:pPr>
      <w:r>
        <w:t>De conformidad con el artículo 14.1 del Reglamento de la Ley General de Subvenciones (RS), aprobado por el Real Decreto 887/2006, de 21 de julio, el PES 2018-2020 del MSCBS debe ser actualizado anualmente de acuerdo con la información relevante disponible</w:t>
      </w:r>
      <w:r>
        <w:t>.</w:t>
      </w:r>
    </w:p>
    <w:p w:rsidR="006C6F4F" w:rsidRDefault="006C6F4F">
      <w:pPr>
        <w:pStyle w:val="Textoindependiente"/>
      </w:pPr>
    </w:p>
    <w:p w:rsidR="006C6F4F" w:rsidRDefault="004C0E36">
      <w:pPr>
        <w:pStyle w:val="Textoindependiente"/>
        <w:ind w:left="222" w:right="1116"/>
        <w:jc w:val="both"/>
      </w:pPr>
      <w:r>
        <w:t>La actualización debe realizarse antes del 30 de abril de cada ejercicio presupuestario pero debido a la especial que estamos atravesando situación derivada de la pandemia COVID-19 se solicitó el 15 de abril una prórroga firmada por el Subsecretario del</w:t>
      </w:r>
      <w:r>
        <w:t xml:space="preserve"> Ministerio de Sanidad por lo que la emisión de la actualización ha tenido lugar más tarde de lo fecha legalmente establecida.</w:t>
      </w:r>
    </w:p>
    <w:p w:rsidR="006C6F4F" w:rsidRDefault="006C6F4F">
      <w:pPr>
        <w:pStyle w:val="Textoindependiente"/>
        <w:rPr>
          <w:sz w:val="28"/>
        </w:rPr>
      </w:pPr>
    </w:p>
    <w:p w:rsidR="006C6F4F" w:rsidRDefault="004C0E36">
      <w:pPr>
        <w:spacing w:before="190"/>
        <w:ind w:left="222" w:right="1123"/>
        <w:jc w:val="both"/>
      </w:pPr>
      <w:r>
        <w:t>Las subvenciones contempladas en el presente PES se engloban en objetivos que se corresponden con el Ministerio de</w:t>
      </w:r>
      <w:r>
        <w:rPr>
          <w:spacing w:val="-3"/>
        </w:rPr>
        <w:t xml:space="preserve"> </w:t>
      </w:r>
      <w:r>
        <w:t>Sanidad.</w:t>
      </w:r>
    </w:p>
    <w:p w:rsidR="006C6F4F" w:rsidRDefault="006C6F4F">
      <w:pPr>
        <w:jc w:val="both"/>
        <w:sectPr w:rsidR="006C6F4F">
          <w:headerReference w:type="default" r:id="rId13"/>
          <w:footerReference w:type="default" r:id="rId14"/>
          <w:pgSz w:w="11910" w:h="16840"/>
          <w:pgMar w:top="1480" w:right="580" w:bottom="920" w:left="1480" w:header="295" w:footer="734" w:gutter="0"/>
          <w:pgNumType w:start="1"/>
          <w:cols w:space="720"/>
        </w:sectPr>
      </w:pPr>
    </w:p>
    <w:p w:rsidR="006C6F4F" w:rsidRDefault="006C6F4F">
      <w:pPr>
        <w:pStyle w:val="Textoindependiente"/>
        <w:spacing w:before="4"/>
        <w:rPr>
          <w:sz w:val="21"/>
        </w:rPr>
      </w:pPr>
    </w:p>
    <w:p w:rsidR="006C6F4F" w:rsidRDefault="004C0E36">
      <w:pPr>
        <w:spacing w:before="101"/>
        <w:ind w:left="222" w:right="1119"/>
        <w:jc w:val="both"/>
      </w:pPr>
      <w:r>
        <w:t>Estos objetivos elaborados por el Ministerio de Sanidad reflejan los grandes retos de la organización y recogen valores constitucionales como el derecho a la sanidad, así como principios básicos de la gerencia pública tales como el incremento de la calidad</w:t>
      </w:r>
      <w:r>
        <w:t>, el acceso a los servicios públicos o la mejora en la prestación de los</w:t>
      </w:r>
      <w:r>
        <w:rPr>
          <w:spacing w:val="-5"/>
        </w:rPr>
        <w:t xml:space="preserve"> </w:t>
      </w:r>
      <w:r>
        <w:t>mismos.</w:t>
      </w:r>
    </w:p>
    <w:p w:rsidR="006C6F4F" w:rsidRDefault="006C6F4F">
      <w:pPr>
        <w:pStyle w:val="Textoindependiente"/>
        <w:rPr>
          <w:sz w:val="22"/>
        </w:rPr>
      </w:pPr>
    </w:p>
    <w:p w:rsidR="006C6F4F" w:rsidRDefault="004C0E36">
      <w:pPr>
        <w:ind w:left="222"/>
        <w:jc w:val="both"/>
      </w:pPr>
      <w:r>
        <w:t>La relación concreta de objetivos es la siguiente:</w:t>
      </w:r>
    </w:p>
    <w:p w:rsidR="006C6F4F" w:rsidRDefault="006C6F4F">
      <w:pPr>
        <w:pStyle w:val="Textoindependiente"/>
        <w:spacing w:before="1"/>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6380"/>
      </w:tblGrid>
      <w:tr w:rsidR="006C6F4F">
        <w:trPr>
          <w:trHeight w:val="2885"/>
        </w:trPr>
        <w:tc>
          <w:tcPr>
            <w:tcW w:w="2235" w:type="dxa"/>
            <w:shd w:val="clear" w:color="auto" w:fill="B8CCE3"/>
          </w:tcPr>
          <w:p w:rsidR="006C6F4F" w:rsidRDefault="006C6F4F">
            <w:pPr>
              <w:pStyle w:val="TableParagraph"/>
              <w:rPr>
                <w:rFonts w:ascii="Arial Narrow"/>
                <w:sz w:val="40"/>
              </w:rPr>
            </w:pPr>
          </w:p>
          <w:p w:rsidR="006C6F4F" w:rsidRDefault="006C6F4F">
            <w:pPr>
              <w:pStyle w:val="TableParagraph"/>
              <w:spacing w:before="2"/>
              <w:rPr>
                <w:rFonts w:ascii="Arial Narrow"/>
                <w:sz w:val="49"/>
              </w:rPr>
            </w:pPr>
          </w:p>
          <w:p w:rsidR="006C6F4F" w:rsidRDefault="004C0E36">
            <w:pPr>
              <w:pStyle w:val="TableParagraph"/>
              <w:ind w:left="230" w:right="203" w:firstLine="213"/>
              <w:rPr>
                <w:rFonts w:ascii="Arial Narrow" w:hAnsi="Arial Narrow"/>
                <w:b/>
                <w:sz w:val="36"/>
              </w:rPr>
            </w:pPr>
            <w:r>
              <w:rPr>
                <w:rFonts w:ascii="Arial Narrow" w:hAnsi="Arial Narrow"/>
                <w:b/>
                <w:sz w:val="36"/>
              </w:rPr>
              <w:t>Objetivos Estratégicos</w:t>
            </w:r>
          </w:p>
        </w:tc>
        <w:tc>
          <w:tcPr>
            <w:tcW w:w="6380" w:type="dxa"/>
          </w:tcPr>
          <w:p w:rsidR="006C6F4F" w:rsidRDefault="006C6F4F">
            <w:pPr>
              <w:pStyle w:val="TableParagraph"/>
              <w:spacing w:before="8"/>
              <w:rPr>
                <w:rFonts w:ascii="Arial Narrow"/>
                <w:sz w:val="21"/>
              </w:rPr>
            </w:pPr>
          </w:p>
          <w:p w:rsidR="006C6F4F" w:rsidRDefault="004C0E36">
            <w:pPr>
              <w:pStyle w:val="TableParagraph"/>
              <w:numPr>
                <w:ilvl w:val="0"/>
                <w:numId w:val="4"/>
              </w:numPr>
              <w:tabs>
                <w:tab w:val="left" w:pos="569"/>
              </w:tabs>
              <w:ind w:right="99"/>
              <w:jc w:val="both"/>
              <w:rPr>
                <w:rFonts w:ascii="Arial Narrow" w:hAnsi="Arial Narrow"/>
              </w:rPr>
            </w:pPr>
            <w:r>
              <w:rPr>
                <w:rFonts w:ascii="Arial Narrow" w:hAnsi="Arial Narrow"/>
              </w:rPr>
              <w:t>Configurar un sistema sanitario público eficiente y de calidad, planificando la atención socio-sanitaria, la salud pública y las acciones preventivas en materia</w:t>
            </w:r>
            <w:r>
              <w:rPr>
                <w:rFonts w:ascii="Arial Narrow" w:hAnsi="Arial Narrow"/>
                <w:spacing w:val="-2"/>
              </w:rPr>
              <w:t xml:space="preserve"> </w:t>
            </w:r>
            <w:r>
              <w:rPr>
                <w:rFonts w:ascii="Arial Narrow" w:hAnsi="Arial Narrow"/>
              </w:rPr>
              <w:t>sanitaria.</w:t>
            </w:r>
          </w:p>
          <w:p w:rsidR="006C6F4F" w:rsidRDefault="004C0E36">
            <w:pPr>
              <w:pStyle w:val="TableParagraph"/>
              <w:numPr>
                <w:ilvl w:val="0"/>
                <w:numId w:val="4"/>
              </w:numPr>
              <w:tabs>
                <w:tab w:val="left" w:pos="569"/>
              </w:tabs>
              <w:spacing w:before="122"/>
              <w:ind w:right="99"/>
              <w:jc w:val="both"/>
              <w:rPr>
                <w:rFonts w:ascii="Arial Narrow" w:hAnsi="Arial Narrow"/>
              </w:rPr>
            </w:pPr>
            <w:r>
              <w:rPr>
                <w:rFonts w:ascii="Arial Narrow" w:hAnsi="Arial Narrow"/>
              </w:rPr>
              <w:t>Determinación de la cartera de servicios y de productos del Sistema Nacional de Salu</w:t>
            </w:r>
            <w:r>
              <w:rPr>
                <w:rFonts w:ascii="Arial Narrow" w:hAnsi="Arial Narrow"/>
              </w:rPr>
              <w:t>d, promoviendo la salud que garantice la equidad, calidad y cohesión del</w:t>
            </w:r>
            <w:r>
              <w:rPr>
                <w:rFonts w:ascii="Arial Narrow" w:hAnsi="Arial Narrow"/>
                <w:spacing w:val="-8"/>
              </w:rPr>
              <w:t xml:space="preserve"> </w:t>
            </w:r>
            <w:r>
              <w:rPr>
                <w:rFonts w:ascii="Arial Narrow" w:hAnsi="Arial Narrow"/>
              </w:rPr>
              <w:t>mismo.</w:t>
            </w:r>
          </w:p>
          <w:p w:rsidR="006C6F4F" w:rsidRDefault="004C0E36">
            <w:pPr>
              <w:pStyle w:val="TableParagraph"/>
              <w:numPr>
                <w:ilvl w:val="0"/>
                <w:numId w:val="4"/>
              </w:numPr>
              <w:tabs>
                <w:tab w:val="left" w:pos="569"/>
              </w:tabs>
              <w:spacing w:before="119"/>
              <w:ind w:right="100"/>
              <w:jc w:val="both"/>
              <w:rPr>
                <w:rFonts w:ascii="Arial Narrow" w:hAnsi="Arial Narrow"/>
              </w:rPr>
            </w:pPr>
            <w:r>
              <w:rPr>
                <w:rFonts w:ascii="Arial Narrow" w:hAnsi="Arial Narrow"/>
              </w:rPr>
              <w:t>Impulsar y fomentar las acciones dedicadas a la donación y trasplante de órganos, tejidos y</w:t>
            </w:r>
            <w:r>
              <w:rPr>
                <w:rFonts w:ascii="Arial Narrow" w:hAnsi="Arial Narrow"/>
                <w:spacing w:val="-3"/>
              </w:rPr>
              <w:t xml:space="preserve"> </w:t>
            </w:r>
            <w:r>
              <w:rPr>
                <w:rFonts w:ascii="Arial Narrow" w:hAnsi="Arial Narrow"/>
              </w:rPr>
              <w:t>células.</w:t>
            </w:r>
          </w:p>
        </w:tc>
      </w:tr>
    </w:tbl>
    <w:p w:rsidR="006C6F4F" w:rsidRDefault="006C6F4F">
      <w:pPr>
        <w:pStyle w:val="Textoindependiente"/>
        <w:spacing w:before="8"/>
        <w:rPr>
          <w:sz w:val="21"/>
        </w:rPr>
      </w:pPr>
    </w:p>
    <w:p w:rsidR="006C6F4F" w:rsidRDefault="004C0E36">
      <w:pPr>
        <w:spacing w:before="1"/>
        <w:ind w:left="222" w:right="1124"/>
        <w:jc w:val="both"/>
      </w:pPr>
      <w:r>
        <w:t>Además de los objetivos arriba descritos, el PES busca otros beneficios que no se circunscriben a ningún área concreta de competencias, sino que son perseguidos de forma transversal por el conjunto de las subvenciones incluidas en el mismo. Son los siguien</w:t>
      </w:r>
      <w:r>
        <w:t>tes:</w:t>
      </w:r>
    </w:p>
    <w:p w:rsidR="006C6F4F" w:rsidRDefault="006C6F4F">
      <w:pPr>
        <w:pStyle w:val="Textoindependiente"/>
        <w:spacing w:before="11"/>
        <w:rPr>
          <w:sz w:val="21"/>
        </w:rPr>
      </w:pPr>
    </w:p>
    <w:p w:rsidR="006C6F4F" w:rsidRDefault="004C0E36">
      <w:pPr>
        <w:pStyle w:val="Prrafodelista"/>
        <w:numPr>
          <w:ilvl w:val="1"/>
          <w:numId w:val="5"/>
        </w:numPr>
        <w:tabs>
          <w:tab w:val="left" w:pos="934"/>
          <w:tab w:val="left" w:pos="935"/>
        </w:tabs>
        <w:jc w:val="left"/>
      </w:pPr>
      <w:r>
        <w:t>Contribuir a una redistribución equitativa de recursos entre la sociedad, teniendo presentes criterios de necesidades reales, así como factores económicos y</w:t>
      </w:r>
      <w:r>
        <w:rPr>
          <w:spacing w:val="-14"/>
        </w:rPr>
        <w:t xml:space="preserve"> </w:t>
      </w:r>
      <w:r>
        <w:t>sociales.</w:t>
      </w:r>
    </w:p>
    <w:p w:rsidR="006C6F4F" w:rsidRDefault="004C0E36">
      <w:pPr>
        <w:pStyle w:val="Prrafodelista"/>
        <w:numPr>
          <w:ilvl w:val="1"/>
          <w:numId w:val="5"/>
        </w:numPr>
        <w:tabs>
          <w:tab w:val="left" w:pos="934"/>
          <w:tab w:val="left" w:pos="935"/>
        </w:tabs>
        <w:spacing w:before="119"/>
        <w:ind w:right="0"/>
        <w:jc w:val="left"/>
      </w:pPr>
      <w:r>
        <w:t>Garantizar la igualdad de oportunidades entre hombres y</w:t>
      </w:r>
      <w:r>
        <w:rPr>
          <w:spacing w:val="-8"/>
        </w:rPr>
        <w:t xml:space="preserve"> </w:t>
      </w:r>
      <w:r>
        <w:t>mujeres.</w:t>
      </w:r>
    </w:p>
    <w:p w:rsidR="006C6F4F" w:rsidRDefault="006C6F4F">
      <w:pPr>
        <w:pStyle w:val="Textoindependiente"/>
        <w:spacing w:before="11"/>
        <w:rPr>
          <w:sz w:val="33"/>
        </w:rPr>
      </w:pPr>
    </w:p>
    <w:p w:rsidR="006C6F4F" w:rsidRDefault="004C0E36">
      <w:pPr>
        <w:pStyle w:val="Ttulo1"/>
        <w:numPr>
          <w:ilvl w:val="0"/>
          <w:numId w:val="5"/>
        </w:numPr>
        <w:tabs>
          <w:tab w:val="left" w:pos="467"/>
        </w:tabs>
        <w:ind w:left="222" w:right="1122" w:firstLine="0"/>
      </w:pPr>
      <w:r>
        <w:t>ACTUALIZACIÓN DEL</w:t>
      </w:r>
      <w:r>
        <w:t xml:space="preserve"> PLAN ESTRATÉGICO DE SUBVENCIONES DEL MINISTERIO DE SANIDAD.</w:t>
      </w:r>
    </w:p>
    <w:p w:rsidR="006C6F4F" w:rsidRDefault="006C6F4F">
      <w:pPr>
        <w:pStyle w:val="Textoindependiente"/>
        <w:spacing w:before="11"/>
        <w:rPr>
          <w:b/>
          <w:sz w:val="23"/>
        </w:rPr>
      </w:pPr>
    </w:p>
    <w:p w:rsidR="006C6F4F" w:rsidRDefault="004C0E36">
      <w:pPr>
        <w:pStyle w:val="Textoindependiente"/>
        <w:ind w:left="222"/>
        <w:jc w:val="both"/>
      </w:pPr>
      <w:r>
        <w:t>La actualización se encuentra condicionada por varios factores:</w:t>
      </w:r>
    </w:p>
    <w:p w:rsidR="006C6F4F" w:rsidRDefault="006C6F4F">
      <w:pPr>
        <w:pStyle w:val="Textoindependiente"/>
        <w:spacing w:before="1"/>
      </w:pPr>
    </w:p>
    <w:p w:rsidR="006C6F4F" w:rsidRDefault="004C0E36">
      <w:pPr>
        <w:pStyle w:val="Prrafodelista"/>
        <w:numPr>
          <w:ilvl w:val="0"/>
          <w:numId w:val="3"/>
        </w:numPr>
        <w:tabs>
          <w:tab w:val="left" w:pos="650"/>
        </w:tabs>
        <w:ind w:right="1120"/>
        <w:rPr>
          <w:sz w:val="24"/>
        </w:rPr>
      </w:pPr>
      <w:r>
        <w:rPr>
          <w:sz w:val="24"/>
        </w:rPr>
        <w:t>Existe una situación de prórroga presupuestaria (se ha prorrogado los presupuestos de 2018) que condiciona las actuaciones en tod</w:t>
      </w:r>
      <w:r>
        <w:rPr>
          <w:sz w:val="24"/>
        </w:rPr>
        <w:t>as las áreas de la actividad</w:t>
      </w:r>
      <w:r>
        <w:rPr>
          <w:spacing w:val="-35"/>
          <w:sz w:val="24"/>
        </w:rPr>
        <w:t xml:space="preserve"> </w:t>
      </w:r>
      <w:r>
        <w:rPr>
          <w:sz w:val="24"/>
        </w:rPr>
        <w:t>administrativa.</w:t>
      </w:r>
    </w:p>
    <w:p w:rsidR="006C6F4F" w:rsidRDefault="006C6F4F">
      <w:pPr>
        <w:pStyle w:val="Textoindependiente"/>
        <w:spacing w:before="10"/>
        <w:rPr>
          <w:sz w:val="23"/>
        </w:rPr>
      </w:pPr>
    </w:p>
    <w:p w:rsidR="006C6F4F" w:rsidRDefault="004C0E36">
      <w:pPr>
        <w:pStyle w:val="Prrafodelista"/>
        <w:numPr>
          <w:ilvl w:val="0"/>
          <w:numId w:val="3"/>
        </w:numPr>
        <w:tabs>
          <w:tab w:val="left" w:pos="650"/>
        </w:tabs>
        <w:ind w:right="1116"/>
        <w:rPr>
          <w:sz w:val="24"/>
        </w:rPr>
      </w:pPr>
      <w:r>
        <w:rPr>
          <w:sz w:val="24"/>
        </w:rPr>
        <w:t>Como consecuencia de dicha prórroga presupuestaria se ha de mencionar la existencia de un calendario semestral de planificación de determinadas partidas presupuestarias, así como un procedimiento reglado de autorización de los gastos incluidos en los mismo</w:t>
      </w:r>
      <w:r>
        <w:rPr>
          <w:sz w:val="24"/>
        </w:rPr>
        <w:t>s (Acuerdo del Consejo de Ministros por el que se establecen los criterios de aplicación de la prórroga para 2020 de los PGE de 2019; de fecha 27 de diciembre de 2019; y Orden HAC/46/2020, de 20 de</w:t>
      </w:r>
      <w:r>
        <w:rPr>
          <w:spacing w:val="-1"/>
          <w:sz w:val="24"/>
        </w:rPr>
        <w:t xml:space="preserve"> </w:t>
      </w:r>
      <w:r>
        <w:rPr>
          <w:sz w:val="24"/>
        </w:rPr>
        <w:t>enero).</w:t>
      </w:r>
    </w:p>
    <w:p w:rsidR="006C6F4F" w:rsidRDefault="006C6F4F">
      <w:pPr>
        <w:pStyle w:val="Textoindependiente"/>
      </w:pPr>
    </w:p>
    <w:p w:rsidR="006C6F4F" w:rsidRDefault="004C0E36">
      <w:pPr>
        <w:pStyle w:val="Prrafodelista"/>
        <w:numPr>
          <w:ilvl w:val="0"/>
          <w:numId w:val="3"/>
        </w:numPr>
        <w:tabs>
          <w:tab w:val="left" w:pos="650"/>
        </w:tabs>
        <w:ind w:right="1117"/>
        <w:rPr>
          <w:sz w:val="24"/>
        </w:rPr>
      </w:pPr>
      <w:r>
        <w:rPr>
          <w:sz w:val="24"/>
        </w:rPr>
        <w:t>Como consecuencia de la formación del nuevo gobie</w:t>
      </w:r>
      <w:r>
        <w:rPr>
          <w:sz w:val="24"/>
        </w:rPr>
        <w:t xml:space="preserve">rno se ha producido </w:t>
      </w:r>
      <w:r>
        <w:rPr>
          <w:spacing w:val="-2"/>
          <w:sz w:val="24"/>
        </w:rPr>
        <w:t xml:space="preserve">una </w:t>
      </w:r>
      <w:r>
        <w:rPr>
          <w:sz w:val="24"/>
        </w:rPr>
        <w:t>reorganización administrativa general, así el Real Decreto 2/2020, de 12 de enero, por el que se reestructuran los departamentos ministeriales supone la división del anterior Ministerio de Sanidad, Consumo y Bienestar Social en tres</w:t>
      </w:r>
      <w:r>
        <w:rPr>
          <w:sz w:val="24"/>
        </w:rPr>
        <w:t xml:space="preserve"> nuevos departamentos, siendo uno de ellos el Ministerio de Sanidad que el Real Decreto 454/2020, de 10 de marzo, desarrolla su estructura orgánica</w:t>
      </w:r>
      <w:r>
        <w:rPr>
          <w:spacing w:val="-4"/>
          <w:sz w:val="24"/>
        </w:rPr>
        <w:t xml:space="preserve"> </w:t>
      </w:r>
      <w:r>
        <w:rPr>
          <w:sz w:val="24"/>
        </w:rPr>
        <w:t>básica.</w:t>
      </w:r>
    </w:p>
    <w:p w:rsidR="006C6F4F" w:rsidRDefault="006C6F4F">
      <w:pPr>
        <w:jc w:val="both"/>
        <w:rPr>
          <w:sz w:val="24"/>
        </w:rPr>
        <w:sectPr w:rsidR="006C6F4F">
          <w:pgSz w:w="11910" w:h="16840"/>
          <w:pgMar w:top="1480" w:right="580" w:bottom="920" w:left="1480" w:header="295" w:footer="734" w:gutter="0"/>
          <w:cols w:space="720"/>
        </w:sectPr>
      </w:pPr>
    </w:p>
    <w:p w:rsidR="006C6F4F" w:rsidRDefault="004C0E36">
      <w:pPr>
        <w:pStyle w:val="Textoindependiente"/>
        <w:spacing w:before="89"/>
        <w:ind w:left="222" w:right="1119"/>
        <w:jc w:val="both"/>
      </w:pPr>
      <w:r>
        <w:lastRenderedPageBreak/>
        <w:t>Además de estos factores la actualización del PES para el año 2020 ha sido elaborada teniendo en cuenta las recomendaciones de Informe al Plan Estratégico de Subvenciones (código 2019/172) elaborado por la Intervención delegada.</w:t>
      </w:r>
    </w:p>
    <w:p w:rsidR="006C6F4F" w:rsidRDefault="006C6F4F">
      <w:pPr>
        <w:pStyle w:val="Textoindependiente"/>
        <w:spacing w:before="3"/>
      </w:pPr>
    </w:p>
    <w:p w:rsidR="006C6F4F" w:rsidRDefault="004C0E36">
      <w:pPr>
        <w:pStyle w:val="Prrafodelista"/>
        <w:numPr>
          <w:ilvl w:val="1"/>
          <w:numId w:val="3"/>
        </w:numPr>
        <w:tabs>
          <w:tab w:val="left" w:pos="942"/>
        </w:tabs>
        <w:spacing w:line="237" w:lineRule="auto"/>
        <w:ind w:left="941" w:right="1124"/>
        <w:rPr>
          <w:sz w:val="24"/>
        </w:rPr>
      </w:pPr>
      <w:r>
        <w:rPr>
          <w:sz w:val="24"/>
        </w:rPr>
        <w:t xml:space="preserve">De esta manera se recogen </w:t>
      </w:r>
      <w:r>
        <w:rPr>
          <w:sz w:val="24"/>
        </w:rPr>
        <w:t>las transferencias corrientes y las transferencias de capital correspondientes a subvenciones gestionadas por las Comunidades Autónomas en virtud del artículo 86 que en el informe anterior se</w:t>
      </w:r>
      <w:r>
        <w:rPr>
          <w:spacing w:val="-13"/>
          <w:sz w:val="24"/>
        </w:rPr>
        <w:t xml:space="preserve"> </w:t>
      </w:r>
      <w:r>
        <w:rPr>
          <w:sz w:val="24"/>
        </w:rPr>
        <w:t>excluyeron.</w:t>
      </w:r>
    </w:p>
    <w:p w:rsidR="006C6F4F" w:rsidRDefault="006C6F4F">
      <w:pPr>
        <w:pStyle w:val="Textoindependiente"/>
        <w:spacing w:before="2"/>
      </w:pPr>
    </w:p>
    <w:p w:rsidR="006C6F4F" w:rsidRDefault="004C0E36">
      <w:pPr>
        <w:pStyle w:val="Prrafodelista"/>
        <w:numPr>
          <w:ilvl w:val="1"/>
          <w:numId w:val="3"/>
        </w:numPr>
        <w:tabs>
          <w:tab w:val="left" w:pos="942"/>
        </w:tabs>
        <w:ind w:left="941" w:right="1119"/>
        <w:rPr>
          <w:sz w:val="24"/>
        </w:rPr>
      </w:pPr>
      <w:r>
        <w:rPr>
          <w:sz w:val="24"/>
        </w:rPr>
        <w:t>Además esta actualización, oídas las recomendacione</w:t>
      </w:r>
      <w:r>
        <w:rPr>
          <w:sz w:val="24"/>
        </w:rPr>
        <w:t>s de la Intervención Delegada, incluye un apartado denominado “Objetivos estratégicos del PES del Ministerio de Sanidad” que no se recogían en Informe anterior , donde se detallan los objetivos estratégicos del PES, así como el impacto o efecto que se busc</w:t>
      </w:r>
      <w:r>
        <w:rPr>
          <w:sz w:val="24"/>
        </w:rPr>
        <w:t>a con</w:t>
      </w:r>
      <w:r>
        <w:rPr>
          <w:spacing w:val="-19"/>
          <w:sz w:val="24"/>
        </w:rPr>
        <w:t xml:space="preserve"> </w:t>
      </w:r>
      <w:r>
        <w:rPr>
          <w:sz w:val="24"/>
        </w:rPr>
        <w:t>ellos.</w:t>
      </w:r>
    </w:p>
    <w:p w:rsidR="006C6F4F" w:rsidRDefault="006C6F4F">
      <w:pPr>
        <w:pStyle w:val="Textoindependiente"/>
        <w:spacing w:before="10"/>
        <w:rPr>
          <w:sz w:val="23"/>
        </w:rPr>
      </w:pPr>
    </w:p>
    <w:p w:rsidR="006C6F4F" w:rsidRDefault="004C0E36">
      <w:pPr>
        <w:pStyle w:val="Textoindependiente"/>
        <w:spacing w:before="1"/>
        <w:ind w:left="222" w:right="1127"/>
        <w:jc w:val="both"/>
      </w:pPr>
      <w:r>
        <w:t>Finalmente, la elaboración del PES se ha elaborado teniendo en cuenta la Guía General para la Elaboración, Seguimiento, Control, Evaluación y Publicidad de los planes estratégicos</w:t>
      </w:r>
    </w:p>
    <w:p w:rsidR="006C6F4F" w:rsidRDefault="006C6F4F">
      <w:pPr>
        <w:pStyle w:val="Textoindependiente"/>
        <w:spacing w:before="11"/>
        <w:rPr>
          <w:sz w:val="23"/>
        </w:rPr>
      </w:pPr>
    </w:p>
    <w:p w:rsidR="006C6F4F" w:rsidRDefault="004C0E36">
      <w:pPr>
        <w:pStyle w:val="Prrafodelista"/>
        <w:numPr>
          <w:ilvl w:val="1"/>
          <w:numId w:val="3"/>
        </w:numPr>
        <w:tabs>
          <w:tab w:val="left" w:pos="1002"/>
        </w:tabs>
        <w:ind w:left="1001" w:right="1115"/>
        <w:rPr>
          <w:sz w:val="24"/>
        </w:rPr>
      </w:pPr>
      <w:r>
        <w:rPr>
          <w:sz w:val="24"/>
        </w:rPr>
        <w:t>Esto supone que se ha procedido a elaborar una nueva estructu</w:t>
      </w:r>
      <w:r>
        <w:rPr>
          <w:sz w:val="24"/>
        </w:rPr>
        <w:t xml:space="preserve">ra que recoja de manera más extensa los contenidos que la normativa en subvenciones determina y unos criterios que pretenden ser de ayuda a la hora de su interpretación y facilitar la compresión del grado de avance y la consecución de la actividad </w:t>
      </w:r>
      <w:proofErr w:type="spellStart"/>
      <w:r>
        <w:rPr>
          <w:sz w:val="24"/>
        </w:rPr>
        <w:t>subvenci</w:t>
      </w:r>
      <w:r>
        <w:rPr>
          <w:sz w:val="24"/>
        </w:rPr>
        <w:t>onal</w:t>
      </w:r>
      <w:proofErr w:type="spellEnd"/>
      <w:r>
        <w:rPr>
          <w:sz w:val="24"/>
        </w:rPr>
        <w:t xml:space="preserve"> del Departamento.</w:t>
      </w:r>
    </w:p>
    <w:p w:rsidR="006C6F4F" w:rsidRDefault="006C6F4F">
      <w:pPr>
        <w:pStyle w:val="Textoindependiente"/>
        <w:spacing w:before="8"/>
        <w:rPr>
          <w:sz w:val="23"/>
        </w:rPr>
      </w:pPr>
    </w:p>
    <w:p w:rsidR="006C6F4F" w:rsidRDefault="004C0E36">
      <w:pPr>
        <w:pStyle w:val="Prrafodelista"/>
        <w:numPr>
          <w:ilvl w:val="1"/>
          <w:numId w:val="3"/>
        </w:numPr>
        <w:tabs>
          <w:tab w:val="left" w:pos="1002"/>
        </w:tabs>
        <w:ind w:left="1001" w:right="1120"/>
        <w:rPr>
          <w:sz w:val="24"/>
        </w:rPr>
      </w:pPr>
      <w:r>
        <w:rPr>
          <w:sz w:val="24"/>
        </w:rPr>
        <w:t>Dicha guía fue remitida a los centros gestores para que supieran los criterios en torno a los cuales se debía actualizar el Plan Estratégico de Subvenciones y hacer más efectiva la recogida de información con el propósito de hacerla</w:t>
      </w:r>
      <w:r>
        <w:rPr>
          <w:sz w:val="24"/>
        </w:rPr>
        <w:t xml:space="preserve"> más intuitiva para su interpretación.</w:t>
      </w:r>
    </w:p>
    <w:p w:rsidR="006C6F4F" w:rsidRDefault="006C6F4F">
      <w:pPr>
        <w:pStyle w:val="Textoindependiente"/>
        <w:spacing w:before="10"/>
        <w:rPr>
          <w:sz w:val="23"/>
        </w:rPr>
      </w:pPr>
    </w:p>
    <w:p w:rsidR="006C6F4F" w:rsidRDefault="004C0E36">
      <w:pPr>
        <w:pStyle w:val="Textoindependiente"/>
        <w:spacing w:before="1"/>
        <w:ind w:left="222" w:right="1115"/>
        <w:jc w:val="both"/>
      </w:pPr>
      <w:r>
        <w:t xml:space="preserve">En base a lo anterior, el Plan Estratégico de Subvenciones del Ministerio de Sanidad para el ejercicio 2020 incluye </w:t>
      </w:r>
      <w:r>
        <w:rPr>
          <w:b/>
        </w:rPr>
        <w:t xml:space="preserve">39 líneas </w:t>
      </w:r>
      <w:r>
        <w:t xml:space="preserve">de subvenciones para la consecución de los objetivos estratégicos del Departamento, por un importe de </w:t>
      </w:r>
      <w:r>
        <w:rPr>
          <w:b/>
        </w:rPr>
        <w:t xml:space="preserve">232.930.528 </w:t>
      </w:r>
      <w:r>
        <w:t>euros de acuerdo con la siguiente distribución:</w:t>
      </w:r>
    </w:p>
    <w:p w:rsidR="006C6F4F" w:rsidRDefault="006C6F4F">
      <w:pPr>
        <w:pStyle w:val="Textoindependiente"/>
        <w:rPr>
          <w:sz w:val="20"/>
        </w:rPr>
      </w:pPr>
    </w:p>
    <w:p w:rsidR="006C6F4F" w:rsidRDefault="006C6F4F">
      <w:pPr>
        <w:pStyle w:val="Textoindependiente"/>
        <w:spacing w:before="10"/>
      </w:pP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8"/>
        <w:gridCol w:w="1668"/>
        <w:gridCol w:w="1553"/>
      </w:tblGrid>
      <w:tr w:rsidR="006C6F4F">
        <w:trPr>
          <w:trHeight w:val="537"/>
        </w:trPr>
        <w:tc>
          <w:tcPr>
            <w:tcW w:w="4818" w:type="dxa"/>
            <w:shd w:val="clear" w:color="auto" w:fill="B8CCE3"/>
          </w:tcPr>
          <w:p w:rsidR="006C6F4F" w:rsidRDefault="004C0E36">
            <w:pPr>
              <w:pStyle w:val="TableParagraph"/>
              <w:spacing w:before="131"/>
              <w:ind w:left="1961" w:right="1955"/>
              <w:jc w:val="center"/>
              <w:rPr>
                <w:rFonts w:ascii="Calibri"/>
                <w:b/>
              </w:rPr>
            </w:pPr>
            <w:r>
              <w:rPr>
                <w:rFonts w:ascii="Calibri"/>
                <w:b/>
              </w:rPr>
              <w:t>SANIDAD</w:t>
            </w:r>
          </w:p>
        </w:tc>
        <w:tc>
          <w:tcPr>
            <w:tcW w:w="1668" w:type="dxa"/>
            <w:shd w:val="clear" w:color="auto" w:fill="B8CCE3"/>
          </w:tcPr>
          <w:p w:rsidR="006C6F4F" w:rsidRDefault="004C0E36">
            <w:pPr>
              <w:pStyle w:val="TableParagraph"/>
              <w:spacing w:line="265" w:lineRule="exact"/>
              <w:ind w:left="186" w:right="177"/>
              <w:jc w:val="center"/>
              <w:rPr>
                <w:rFonts w:ascii="Calibri" w:hAnsi="Calibri"/>
                <w:b/>
              </w:rPr>
            </w:pPr>
            <w:r>
              <w:rPr>
                <w:rFonts w:ascii="Calibri" w:hAnsi="Calibri"/>
                <w:b/>
              </w:rPr>
              <w:t>Nº</w:t>
            </w:r>
          </w:p>
          <w:p w:rsidR="006C6F4F" w:rsidRDefault="004C0E36">
            <w:pPr>
              <w:pStyle w:val="TableParagraph"/>
              <w:spacing w:line="252" w:lineRule="exact"/>
              <w:ind w:left="186" w:right="178"/>
              <w:jc w:val="center"/>
              <w:rPr>
                <w:rFonts w:ascii="Calibri"/>
                <w:b/>
              </w:rPr>
            </w:pPr>
            <w:r>
              <w:rPr>
                <w:rFonts w:ascii="Calibri"/>
                <w:b/>
              </w:rPr>
              <w:t>Subvenciones</w:t>
            </w:r>
          </w:p>
        </w:tc>
        <w:tc>
          <w:tcPr>
            <w:tcW w:w="1553" w:type="dxa"/>
            <w:shd w:val="clear" w:color="auto" w:fill="B8CCE3"/>
          </w:tcPr>
          <w:p w:rsidR="006C6F4F" w:rsidRDefault="004C0E36">
            <w:pPr>
              <w:pStyle w:val="TableParagraph"/>
              <w:spacing w:before="131"/>
              <w:ind w:left="87" w:right="81"/>
              <w:jc w:val="center"/>
              <w:rPr>
                <w:rFonts w:ascii="Calibri"/>
                <w:b/>
              </w:rPr>
            </w:pPr>
            <w:r>
              <w:rPr>
                <w:rFonts w:ascii="Calibri"/>
                <w:b/>
              </w:rPr>
              <w:t>Excepcionadas</w:t>
            </w:r>
          </w:p>
        </w:tc>
      </w:tr>
      <w:tr w:rsidR="006C6F4F">
        <w:trPr>
          <w:trHeight w:val="398"/>
        </w:trPr>
        <w:tc>
          <w:tcPr>
            <w:tcW w:w="4818" w:type="dxa"/>
          </w:tcPr>
          <w:p w:rsidR="006C6F4F" w:rsidRDefault="004C0E36">
            <w:pPr>
              <w:pStyle w:val="TableParagraph"/>
              <w:spacing w:before="76"/>
              <w:ind w:left="105"/>
              <w:rPr>
                <w:rFonts w:ascii="Calibri"/>
                <w:sz w:val="20"/>
              </w:rPr>
            </w:pPr>
            <w:r>
              <w:rPr>
                <w:rFonts w:ascii="Calibri"/>
                <w:sz w:val="20"/>
              </w:rPr>
              <w:t>D. G. DE SALUD PUBLICA E INNOVACION</w:t>
            </w:r>
          </w:p>
        </w:tc>
        <w:tc>
          <w:tcPr>
            <w:tcW w:w="1668" w:type="dxa"/>
          </w:tcPr>
          <w:p w:rsidR="006C6F4F" w:rsidRDefault="004C0E36">
            <w:pPr>
              <w:pStyle w:val="TableParagraph"/>
              <w:spacing w:before="62"/>
              <w:ind w:left="8"/>
              <w:jc w:val="center"/>
              <w:rPr>
                <w:rFonts w:ascii="Calibri"/>
              </w:rPr>
            </w:pPr>
            <w:r>
              <w:rPr>
                <w:rFonts w:ascii="Calibri"/>
              </w:rPr>
              <w:t>7</w:t>
            </w:r>
          </w:p>
        </w:tc>
        <w:tc>
          <w:tcPr>
            <w:tcW w:w="1553" w:type="dxa"/>
          </w:tcPr>
          <w:p w:rsidR="006C6F4F" w:rsidRDefault="004C0E36">
            <w:pPr>
              <w:pStyle w:val="TableParagraph"/>
              <w:spacing w:before="62"/>
              <w:ind w:left="9"/>
              <w:jc w:val="center"/>
              <w:rPr>
                <w:rFonts w:ascii="Calibri"/>
              </w:rPr>
            </w:pPr>
            <w:r>
              <w:rPr>
                <w:rFonts w:ascii="Calibri"/>
              </w:rPr>
              <w:t>1</w:t>
            </w:r>
          </w:p>
        </w:tc>
      </w:tr>
      <w:tr w:rsidR="006C6F4F">
        <w:trPr>
          <w:trHeight w:val="486"/>
        </w:trPr>
        <w:tc>
          <w:tcPr>
            <w:tcW w:w="4818" w:type="dxa"/>
          </w:tcPr>
          <w:p w:rsidR="006C6F4F" w:rsidRDefault="004C0E36">
            <w:pPr>
              <w:pStyle w:val="TableParagraph"/>
              <w:spacing w:line="242" w:lineRule="exact"/>
              <w:ind w:left="105"/>
              <w:rPr>
                <w:rFonts w:ascii="Calibri" w:hAnsi="Calibri"/>
                <w:sz w:val="20"/>
              </w:rPr>
            </w:pPr>
            <w:r>
              <w:rPr>
                <w:rFonts w:ascii="Calibri" w:hAnsi="Calibri"/>
                <w:sz w:val="20"/>
              </w:rPr>
              <w:t>DIRECCION GENERAL DE CARTERA BÁSICA DE SERVICIOS</w:t>
            </w:r>
          </w:p>
          <w:p w:rsidR="006C6F4F" w:rsidRDefault="004C0E36">
            <w:pPr>
              <w:pStyle w:val="TableParagraph"/>
              <w:spacing w:line="225" w:lineRule="exact"/>
              <w:ind w:left="105"/>
              <w:rPr>
                <w:rFonts w:ascii="Calibri"/>
                <w:sz w:val="20"/>
              </w:rPr>
            </w:pPr>
            <w:r>
              <w:rPr>
                <w:rFonts w:ascii="Calibri"/>
                <w:sz w:val="20"/>
              </w:rPr>
              <w:t>DEL SNS Y FARMACIA</w:t>
            </w:r>
          </w:p>
        </w:tc>
        <w:tc>
          <w:tcPr>
            <w:tcW w:w="1668" w:type="dxa"/>
          </w:tcPr>
          <w:p w:rsidR="006C6F4F" w:rsidRDefault="004C0E36">
            <w:pPr>
              <w:pStyle w:val="TableParagraph"/>
              <w:spacing w:before="107"/>
              <w:ind w:left="8"/>
              <w:jc w:val="center"/>
              <w:rPr>
                <w:rFonts w:ascii="Calibri"/>
              </w:rPr>
            </w:pPr>
            <w:r>
              <w:rPr>
                <w:rFonts w:ascii="Calibri"/>
              </w:rPr>
              <w:t>3</w:t>
            </w:r>
          </w:p>
        </w:tc>
        <w:tc>
          <w:tcPr>
            <w:tcW w:w="1553" w:type="dxa"/>
          </w:tcPr>
          <w:p w:rsidR="006C6F4F" w:rsidRDefault="004C0E36">
            <w:pPr>
              <w:pStyle w:val="TableParagraph"/>
              <w:spacing w:before="107"/>
              <w:ind w:left="9"/>
              <w:jc w:val="center"/>
              <w:rPr>
                <w:rFonts w:ascii="Calibri"/>
              </w:rPr>
            </w:pPr>
            <w:r>
              <w:rPr>
                <w:rFonts w:ascii="Calibri"/>
              </w:rPr>
              <w:t>0</w:t>
            </w:r>
          </w:p>
        </w:tc>
      </w:tr>
      <w:tr w:rsidR="006C6F4F">
        <w:trPr>
          <w:trHeight w:val="397"/>
        </w:trPr>
        <w:tc>
          <w:tcPr>
            <w:tcW w:w="4818" w:type="dxa"/>
          </w:tcPr>
          <w:p w:rsidR="006C6F4F" w:rsidRDefault="004C0E36">
            <w:pPr>
              <w:pStyle w:val="TableParagraph"/>
              <w:spacing w:before="75"/>
              <w:ind w:left="105"/>
              <w:rPr>
                <w:rFonts w:ascii="Calibri"/>
                <w:sz w:val="20"/>
              </w:rPr>
            </w:pPr>
            <w:r>
              <w:rPr>
                <w:rFonts w:ascii="Calibri"/>
                <w:sz w:val="20"/>
              </w:rPr>
              <w:t>D.G. PLAN NACIONAL SOBRE DROGAS</w:t>
            </w:r>
          </w:p>
        </w:tc>
        <w:tc>
          <w:tcPr>
            <w:tcW w:w="1668" w:type="dxa"/>
          </w:tcPr>
          <w:p w:rsidR="006C6F4F" w:rsidRDefault="004C0E36">
            <w:pPr>
              <w:pStyle w:val="TableParagraph"/>
              <w:spacing w:before="61"/>
              <w:ind w:left="8"/>
              <w:jc w:val="center"/>
              <w:rPr>
                <w:rFonts w:ascii="Calibri"/>
              </w:rPr>
            </w:pPr>
            <w:r>
              <w:rPr>
                <w:rFonts w:ascii="Calibri"/>
              </w:rPr>
              <w:t>7</w:t>
            </w:r>
          </w:p>
        </w:tc>
        <w:tc>
          <w:tcPr>
            <w:tcW w:w="1553" w:type="dxa"/>
          </w:tcPr>
          <w:p w:rsidR="006C6F4F" w:rsidRDefault="004C0E36">
            <w:pPr>
              <w:pStyle w:val="TableParagraph"/>
              <w:spacing w:before="61"/>
              <w:ind w:left="9"/>
              <w:jc w:val="center"/>
              <w:rPr>
                <w:rFonts w:ascii="Calibri"/>
              </w:rPr>
            </w:pPr>
            <w:r>
              <w:rPr>
                <w:rFonts w:ascii="Calibri"/>
              </w:rPr>
              <w:t>0</w:t>
            </w:r>
          </w:p>
        </w:tc>
      </w:tr>
      <w:tr w:rsidR="006C6F4F">
        <w:trPr>
          <w:trHeight w:val="395"/>
        </w:trPr>
        <w:tc>
          <w:tcPr>
            <w:tcW w:w="4818" w:type="dxa"/>
          </w:tcPr>
          <w:p w:rsidR="006C6F4F" w:rsidRDefault="004C0E36">
            <w:pPr>
              <w:pStyle w:val="TableParagraph"/>
              <w:spacing w:before="75"/>
              <w:ind w:left="105"/>
              <w:rPr>
                <w:rFonts w:ascii="Calibri"/>
                <w:sz w:val="20"/>
              </w:rPr>
            </w:pPr>
            <w:r>
              <w:rPr>
                <w:rFonts w:ascii="Calibri"/>
                <w:sz w:val="20"/>
              </w:rPr>
              <w:t>INGESA</w:t>
            </w:r>
          </w:p>
        </w:tc>
        <w:tc>
          <w:tcPr>
            <w:tcW w:w="1668" w:type="dxa"/>
          </w:tcPr>
          <w:p w:rsidR="006C6F4F" w:rsidRDefault="004C0E36">
            <w:pPr>
              <w:pStyle w:val="TableParagraph"/>
              <w:spacing w:before="61"/>
              <w:ind w:left="8"/>
              <w:jc w:val="center"/>
              <w:rPr>
                <w:rFonts w:ascii="Calibri"/>
              </w:rPr>
            </w:pPr>
            <w:r>
              <w:rPr>
                <w:rFonts w:ascii="Calibri"/>
              </w:rPr>
              <w:t>2</w:t>
            </w:r>
          </w:p>
        </w:tc>
        <w:tc>
          <w:tcPr>
            <w:tcW w:w="1553" w:type="dxa"/>
          </w:tcPr>
          <w:p w:rsidR="006C6F4F" w:rsidRDefault="004C0E36">
            <w:pPr>
              <w:pStyle w:val="TableParagraph"/>
              <w:spacing w:before="61"/>
              <w:ind w:left="9"/>
              <w:jc w:val="center"/>
              <w:rPr>
                <w:rFonts w:ascii="Calibri"/>
              </w:rPr>
            </w:pPr>
            <w:r>
              <w:rPr>
                <w:rFonts w:ascii="Calibri"/>
              </w:rPr>
              <w:t>0</w:t>
            </w:r>
          </w:p>
        </w:tc>
      </w:tr>
      <w:tr w:rsidR="006C6F4F">
        <w:trPr>
          <w:trHeight w:val="397"/>
        </w:trPr>
        <w:tc>
          <w:tcPr>
            <w:tcW w:w="4818" w:type="dxa"/>
          </w:tcPr>
          <w:p w:rsidR="006C6F4F" w:rsidRDefault="004C0E36">
            <w:pPr>
              <w:pStyle w:val="TableParagraph"/>
              <w:spacing w:before="75"/>
              <w:ind w:left="105"/>
              <w:rPr>
                <w:rFonts w:ascii="Calibri" w:hAnsi="Calibri"/>
                <w:sz w:val="20"/>
              </w:rPr>
            </w:pPr>
            <w:r>
              <w:rPr>
                <w:rFonts w:ascii="Calibri" w:hAnsi="Calibri"/>
                <w:sz w:val="20"/>
              </w:rPr>
              <w:t>ORGANIZACIÓN NACIONAL DE TRASPLANTES</w:t>
            </w:r>
          </w:p>
        </w:tc>
        <w:tc>
          <w:tcPr>
            <w:tcW w:w="1668" w:type="dxa"/>
          </w:tcPr>
          <w:p w:rsidR="006C6F4F" w:rsidRDefault="004C0E36">
            <w:pPr>
              <w:pStyle w:val="TableParagraph"/>
              <w:spacing w:before="61"/>
              <w:ind w:left="8"/>
              <w:jc w:val="center"/>
              <w:rPr>
                <w:rFonts w:ascii="Calibri"/>
              </w:rPr>
            </w:pPr>
            <w:r>
              <w:rPr>
                <w:rFonts w:ascii="Calibri"/>
              </w:rPr>
              <w:t>3</w:t>
            </w:r>
          </w:p>
        </w:tc>
        <w:tc>
          <w:tcPr>
            <w:tcW w:w="1553" w:type="dxa"/>
          </w:tcPr>
          <w:p w:rsidR="006C6F4F" w:rsidRDefault="004C0E36">
            <w:pPr>
              <w:pStyle w:val="TableParagraph"/>
              <w:spacing w:before="61"/>
              <w:ind w:left="9"/>
              <w:jc w:val="center"/>
              <w:rPr>
                <w:rFonts w:ascii="Calibri"/>
              </w:rPr>
            </w:pPr>
            <w:r>
              <w:rPr>
                <w:rFonts w:ascii="Calibri"/>
              </w:rPr>
              <w:t>0</w:t>
            </w:r>
          </w:p>
        </w:tc>
      </w:tr>
      <w:tr w:rsidR="006C6F4F">
        <w:trPr>
          <w:trHeight w:val="489"/>
        </w:trPr>
        <w:tc>
          <w:tcPr>
            <w:tcW w:w="4818" w:type="dxa"/>
          </w:tcPr>
          <w:p w:rsidR="006C6F4F" w:rsidRDefault="004C0E36">
            <w:pPr>
              <w:pStyle w:val="TableParagraph"/>
              <w:spacing w:line="243" w:lineRule="exact"/>
              <w:ind w:left="105"/>
              <w:rPr>
                <w:rFonts w:ascii="Calibri" w:hAnsi="Calibri"/>
                <w:sz w:val="20"/>
              </w:rPr>
            </w:pPr>
            <w:r>
              <w:rPr>
                <w:rFonts w:ascii="Calibri" w:hAnsi="Calibri"/>
                <w:sz w:val="20"/>
              </w:rPr>
              <w:t>AGENCIA ESPAÑOLA DE MEDICAMENTOS Y PRODUCTOS</w:t>
            </w:r>
          </w:p>
          <w:p w:rsidR="006C6F4F" w:rsidRDefault="004C0E36">
            <w:pPr>
              <w:pStyle w:val="TableParagraph"/>
              <w:spacing w:line="225" w:lineRule="exact"/>
              <w:ind w:left="105"/>
              <w:rPr>
                <w:rFonts w:ascii="Calibri"/>
                <w:sz w:val="20"/>
              </w:rPr>
            </w:pPr>
            <w:r>
              <w:rPr>
                <w:rFonts w:ascii="Calibri"/>
                <w:sz w:val="20"/>
              </w:rPr>
              <w:t>SANITARIOS</w:t>
            </w:r>
          </w:p>
        </w:tc>
        <w:tc>
          <w:tcPr>
            <w:tcW w:w="1668" w:type="dxa"/>
          </w:tcPr>
          <w:p w:rsidR="006C6F4F" w:rsidRDefault="004C0E36">
            <w:pPr>
              <w:pStyle w:val="TableParagraph"/>
              <w:spacing w:before="107"/>
              <w:ind w:left="186" w:right="175"/>
              <w:jc w:val="center"/>
              <w:rPr>
                <w:rFonts w:ascii="Calibri"/>
              </w:rPr>
            </w:pPr>
            <w:r>
              <w:rPr>
                <w:rFonts w:ascii="Calibri"/>
              </w:rPr>
              <w:t>11</w:t>
            </w:r>
          </w:p>
        </w:tc>
        <w:tc>
          <w:tcPr>
            <w:tcW w:w="1553" w:type="dxa"/>
          </w:tcPr>
          <w:p w:rsidR="006C6F4F" w:rsidRDefault="004C0E36">
            <w:pPr>
              <w:pStyle w:val="TableParagraph"/>
              <w:spacing w:before="107"/>
              <w:ind w:left="9"/>
              <w:jc w:val="center"/>
              <w:rPr>
                <w:rFonts w:ascii="Calibri"/>
              </w:rPr>
            </w:pPr>
            <w:r>
              <w:rPr>
                <w:rFonts w:ascii="Calibri"/>
              </w:rPr>
              <w:t>5</w:t>
            </w:r>
          </w:p>
        </w:tc>
      </w:tr>
      <w:tr w:rsidR="006C6F4F">
        <w:trPr>
          <w:trHeight w:val="395"/>
        </w:trPr>
        <w:tc>
          <w:tcPr>
            <w:tcW w:w="4818" w:type="dxa"/>
          </w:tcPr>
          <w:p w:rsidR="006C6F4F" w:rsidRDefault="004C0E36">
            <w:pPr>
              <w:pStyle w:val="TableParagraph"/>
              <w:spacing w:before="75"/>
              <w:ind w:right="98"/>
              <w:jc w:val="right"/>
              <w:rPr>
                <w:rFonts w:ascii="Calibri" w:hAnsi="Calibri"/>
                <w:b/>
                <w:sz w:val="20"/>
              </w:rPr>
            </w:pPr>
            <w:proofErr w:type="gramStart"/>
            <w:r>
              <w:rPr>
                <w:rFonts w:ascii="Calibri" w:hAnsi="Calibri"/>
                <w:b/>
                <w:sz w:val="20"/>
              </w:rPr>
              <w:t>TOTALES.</w:t>
            </w:r>
            <w:proofErr w:type="gramEnd"/>
            <w:r>
              <w:rPr>
                <w:rFonts w:ascii="Calibri" w:hAnsi="Calibri"/>
                <w:b/>
                <w:sz w:val="20"/>
              </w:rPr>
              <w:t>…</w:t>
            </w:r>
          </w:p>
        </w:tc>
        <w:tc>
          <w:tcPr>
            <w:tcW w:w="1668" w:type="dxa"/>
            <w:shd w:val="clear" w:color="auto" w:fill="B8CCE3"/>
          </w:tcPr>
          <w:p w:rsidR="006C6F4F" w:rsidRDefault="004C0E36">
            <w:pPr>
              <w:pStyle w:val="TableParagraph"/>
              <w:spacing w:before="49"/>
              <w:ind w:left="186" w:right="175"/>
              <w:jc w:val="center"/>
              <w:rPr>
                <w:rFonts w:ascii="Calibri"/>
                <w:b/>
                <w:sz w:val="24"/>
              </w:rPr>
            </w:pPr>
            <w:r>
              <w:rPr>
                <w:rFonts w:ascii="Calibri"/>
                <w:b/>
                <w:sz w:val="24"/>
              </w:rPr>
              <w:t>33</w:t>
            </w:r>
          </w:p>
        </w:tc>
        <w:tc>
          <w:tcPr>
            <w:tcW w:w="1553" w:type="dxa"/>
            <w:shd w:val="clear" w:color="auto" w:fill="B8CCE3"/>
          </w:tcPr>
          <w:p w:rsidR="006C6F4F" w:rsidRDefault="004C0E36">
            <w:pPr>
              <w:pStyle w:val="TableParagraph"/>
              <w:spacing w:before="49"/>
              <w:ind w:left="4"/>
              <w:jc w:val="center"/>
              <w:rPr>
                <w:rFonts w:ascii="Calibri"/>
                <w:b/>
                <w:sz w:val="24"/>
              </w:rPr>
            </w:pPr>
            <w:r>
              <w:rPr>
                <w:rFonts w:ascii="Calibri"/>
                <w:b/>
                <w:sz w:val="24"/>
              </w:rPr>
              <w:t>6</w:t>
            </w:r>
          </w:p>
        </w:tc>
      </w:tr>
    </w:tbl>
    <w:p w:rsidR="006C6F4F" w:rsidRDefault="006C6F4F">
      <w:pPr>
        <w:pStyle w:val="Textoindependiente"/>
        <w:rPr>
          <w:sz w:val="20"/>
        </w:rPr>
      </w:pPr>
    </w:p>
    <w:p w:rsidR="006C6F4F" w:rsidRDefault="006C6F4F">
      <w:pPr>
        <w:pStyle w:val="Textoindependiente"/>
        <w:spacing w:before="9"/>
        <w:rPr>
          <w:sz w:val="23"/>
        </w:rPr>
      </w:pPr>
    </w:p>
    <w:p w:rsidR="006C6F4F" w:rsidRDefault="004C0E36">
      <w:pPr>
        <w:pStyle w:val="Textoindependiente"/>
        <w:ind w:left="222"/>
      </w:pPr>
      <w:r>
        <w:t>A continuación, se detalla la información resumida de las líneas de subvención con los importes correspondientes para el ejercicio 2020.</w:t>
      </w:r>
    </w:p>
    <w:p w:rsidR="006C6F4F" w:rsidRDefault="006C6F4F">
      <w:pPr>
        <w:sectPr w:rsidR="006C6F4F">
          <w:pgSz w:w="11910" w:h="16840"/>
          <w:pgMar w:top="1480" w:right="580" w:bottom="920" w:left="1480" w:header="295" w:footer="734" w:gutter="0"/>
          <w:cols w:space="720"/>
        </w:sect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spacing w:after="1"/>
        <w:rPr>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63"/>
        <w:gridCol w:w="5776"/>
        <w:gridCol w:w="1702"/>
      </w:tblGrid>
      <w:tr w:rsidR="006C6F4F">
        <w:trPr>
          <w:trHeight w:val="700"/>
        </w:trPr>
        <w:tc>
          <w:tcPr>
            <w:tcW w:w="9609" w:type="dxa"/>
            <w:gridSpan w:val="4"/>
            <w:shd w:val="clear" w:color="auto" w:fill="B8CCE3"/>
          </w:tcPr>
          <w:p w:rsidR="006C6F4F" w:rsidRDefault="006C6F4F">
            <w:pPr>
              <w:pStyle w:val="TableParagraph"/>
              <w:spacing w:before="6"/>
              <w:rPr>
                <w:rFonts w:ascii="Arial Narrow"/>
                <w:sz w:val="18"/>
              </w:rPr>
            </w:pPr>
          </w:p>
          <w:p w:rsidR="006C6F4F" w:rsidRDefault="004C0E36">
            <w:pPr>
              <w:pStyle w:val="TableParagraph"/>
              <w:ind w:left="1750" w:right="1747"/>
              <w:jc w:val="center"/>
              <w:rPr>
                <w:rFonts w:ascii="Calibri" w:hAnsi="Calibri"/>
                <w:b/>
              </w:rPr>
            </w:pPr>
            <w:r>
              <w:rPr>
                <w:rFonts w:ascii="Calibri" w:hAnsi="Calibri"/>
                <w:b/>
              </w:rPr>
              <w:t>DIRECCION GENERAL DE SALUD PUBLICA, CALIDAD E INNOVACIÓN</w:t>
            </w:r>
          </w:p>
        </w:tc>
      </w:tr>
      <w:tr w:rsidR="006C6F4F">
        <w:trPr>
          <w:trHeight w:val="818"/>
        </w:trPr>
        <w:tc>
          <w:tcPr>
            <w:tcW w:w="1668" w:type="dxa"/>
          </w:tcPr>
          <w:p w:rsidR="006C6F4F" w:rsidRDefault="006C6F4F">
            <w:pPr>
              <w:pStyle w:val="TableParagraph"/>
              <w:spacing w:before="1"/>
              <w:rPr>
                <w:rFonts w:ascii="Arial Narrow"/>
                <w:sz w:val="26"/>
              </w:rPr>
            </w:pPr>
          </w:p>
          <w:p w:rsidR="006C6F4F" w:rsidRDefault="004C0E36">
            <w:pPr>
              <w:pStyle w:val="TableParagraph"/>
              <w:ind w:left="107"/>
              <w:rPr>
                <w:b/>
                <w:sz w:val="18"/>
              </w:rPr>
            </w:pPr>
            <w:r>
              <w:rPr>
                <w:b/>
                <w:sz w:val="18"/>
              </w:rPr>
              <w:t>26.07.313B.486</w:t>
            </w:r>
          </w:p>
        </w:tc>
        <w:tc>
          <w:tcPr>
            <w:tcW w:w="463" w:type="dxa"/>
          </w:tcPr>
          <w:p w:rsidR="006C6F4F" w:rsidRDefault="006C6F4F">
            <w:pPr>
              <w:pStyle w:val="TableParagraph"/>
              <w:spacing w:before="1"/>
              <w:rPr>
                <w:rFonts w:ascii="Arial Narrow"/>
                <w:sz w:val="26"/>
              </w:rPr>
            </w:pPr>
          </w:p>
          <w:p w:rsidR="006C6F4F" w:rsidRDefault="004C0E36">
            <w:pPr>
              <w:pStyle w:val="TableParagraph"/>
              <w:ind w:left="179"/>
              <w:rPr>
                <w:b/>
                <w:sz w:val="18"/>
              </w:rPr>
            </w:pPr>
            <w:r>
              <w:rPr>
                <w:b/>
                <w:w w:val="99"/>
                <w:sz w:val="18"/>
              </w:rPr>
              <w:t>1</w:t>
            </w:r>
          </w:p>
        </w:tc>
        <w:tc>
          <w:tcPr>
            <w:tcW w:w="5776" w:type="dxa"/>
          </w:tcPr>
          <w:p w:rsidR="006C6F4F" w:rsidRDefault="006C6F4F">
            <w:pPr>
              <w:pStyle w:val="TableParagraph"/>
              <w:spacing w:before="6"/>
              <w:rPr>
                <w:rFonts w:ascii="Arial Narrow"/>
                <w:sz w:val="17"/>
              </w:rPr>
            </w:pPr>
          </w:p>
          <w:p w:rsidR="006C6F4F" w:rsidRDefault="004C0E36">
            <w:pPr>
              <w:pStyle w:val="TableParagraph"/>
              <w:ind w:left="108" w:right="155"/>
              <w:rPr>
                <w:sz w:val="18"/>
              </w:rPr>
            </w:pPr>
            <w:r>
              <w:rPr>
                <w:sz w:val="18"/>
              </w:rPr>
              <w:t>Programas de prevención y control de la infección por VIH/SIDA y otras infecciones de transmisión sexual.</w:t>
            </w:r>
          </w:p>
        </w:tc>
        <w:tc>
          <w:tcPr>
            <w:tcW w:w="1702" w:type="dxa"/>
          </w:tcPr>
          <w:p w:rsidR="006C6F4F" w:rsidRDefault="006C6F4F">
            <w:pPr>
              <w:pStyle w:val="TableParagraph"/>
              <w:spacing w:before="6"/>
              <w:rPr>
                <w:rFonts w:ascii="Arial Narrow"/>
                <w:sz w:val="26"/>
              </w:rPr>
            </w:pPr>
          </w:p>
          <w:p w:rsidR="006C6F4F" w:rsidRDefault="004C0E36">
            <w:pPr>
              <w:pStyle w:val="TableParagraph"/>
              <w:ind w:right="95"/>
              <w:jc w:val="right"/>
              <w:rPr>
                <w:sz w:val="18"/>
              </w:rPr>
            </w:pPr>
            <w:r>
              <w:rPr>
                <w:sz w:val="18"/>
              </w:rPr>
              <w:t>2.000.000</w:t>
            </w:r>
          </w:p>
        </w:tc>
      </w:tr>
      <w:tr w:rsidR="006C6F4F">
        <w:trPr>
          <w:trHeight w:val="818"/>
        </w:trPr>
        <w:tc>
          <w:tcPr>
            <w:tcW w:w="1668" w:type="dxa"/>
          </w:tcPr>
          <w:p w:rsidR="006C6F4F" w:rsidRDefault="006C6F4F">
            <w:pPr>
              <w:pStyle w:val="TableParagraph"/>
              <w:spacing w:before="3"/>
              <w:rPr>
                <w:rFonts w:ascii="Arial Narrow"/>
                <w:sz w:val="26"/>
              </w:rPr>
            </w:pPr>
          </w:p>
          <w:p w:rsidR="006C6F4F" w:rsidRDefault="004C0E36">
            <w:pPr>
              <w:pStyle w:val="TableParagraph"/>
              <w:ind w:left="107"/>
              <w:rPr>
                <w:b/>
                <w:sz w:val="18"/>
              </w:rPr>
            </w:pPr>
            <w:r>
              <w:rPr>
                <w:b/>
                <w:sz w:val="18"/>
              </w:rPr>
              <w:t>26.07.313B.453</w:t>
            </w:r>
          </w:p>
        </w:tc>
        <w:tc>
          <w:tcPr>
            <w:tcW w:w="463" w:type="dxa"/>
          </w:tcPr>
          <w:p w:rsidR="006C6F4F" w:rsidRDefault="006C6F4F">
            <w:pPr>
              <w:pStyle w:val="TableParagraph"/>
              <w:spacing w:before="3"/>
              <w:rPr>
                <w:rFonts w:ascii="Arial Narrow"/>
                <w:sz w:val="26"/>
              </w:rPr>
            </w:pPr>
          </w:p>
          <w:p w:rsidR="006C6F4F" w:rsidRDefault="004C0E36">
            <w:pPr>
              <w:pStyle w:val="TableParagraph"/>
              <w:ind w:left="179"/>
              <w:rPr>
                <w:b/>
                <w:sz w:val="18"/>
              </w:rPr>
            </w:pPr>
            <w:r>
              <w:rPr>
                <w:b/>
                <w:w w:val="99"/>
                <w:sz w:val="18"/>
              </w:rPr>
              <w:t>2</w:t>
            </w:r>
          </w:p>
        </w:tc>
        <w:tc>
          <w:tcPr>
            <w:tcW w:w="5776" w:type="dxa"/>
          </w:tcPr>
          <w:p w:rsidR="006C6F4F" w:rsidRDefault="004C0E36">
            <w:pPr>
              <w:pStyle w:val="TableParagraph"/>
              <w:spacing w:before="97"/>
              <w:ind w:left="108" w:right="155"/>
              <w:rPr>
                <w:sz w:val="18"/>
              </w:rPr>
            </w:pPr>
            <w:r>
              <w:rPr>
                <w:sz w:val="18"/>
              </w:rPr>
              <w:t xml:space="preserve">Al Inst. Univ. </w:t>
            </w:r>
            <w:proofErr w:type="spellStart"/>
            <w:r>
              <w:rPr>
                <w:sz w:val="18"/>
              </w:rPr>
              <w:t>Enferm</w:t>
            </w:r>
            <w:proofErr w:type="spellEnd"/>
            <w:r>
              <w:rPr>
                <w:sz w:val="18"/>
              </w:rPr>
              <w:t>. Tropicales y Salud Pública de Canarias para la investigación, desarrollo e innovación en los campos de las enfermedades tropicales y salud pública.</w:t>
            </w:r>
          </w:p>
        </w:tc>
        <w:tc>
          <w:tcPr>
            <w:tcW w:w="1702" w:type="dxa"/>
          </w:tcPr>
          <w:p w:rsidR="006C6F4F" w:rsidRDefault="006C6F4F">
            <w:pPr>
              <w:pStyle w:val="TableParagraph"/>
              <w:spacing w:before="7"/>
              <w:rPr>
                <w:rFonts w:ascii="Arial Narrow"/>
                <w:sz w:val="26"/>
              </w:rPr>
            </w:pPr>
          </w:p>
          <w:p w:rsidR="006C6F4F" w:rsidRDefault="004C0E36">
            <w:pPr>
              <w:pStyle w:val="TableParagraph"/>
              <w:spacing w:before="1"/>
              <w:ind w:right="95"/>
              <w:jc w:val="right"/>
              <w:rPr>
                <w:sz w:val="18"/>
              </w:rPr>
            </w:pPr>
            <w:r>
              <w:rPr>
                <w:sz w:val="18"/>
              </w:rPr>
              <w:t>1.010.000</w:t>
            </w:r>
          </w:p>
        </w:tc>
      </w:tr>
      <w:tr w:rsidR="006C6F4F">
        <w:trPr>
          <w:trHeight w:val="503"/>
        </w:trPr>
        <w:tc>
          <w:tcPr>
            <w:tcW w:w="1668" w:type="dxa"/>
          </w:tcPr>
          <w:p w:rsidR="006C6F4F" w:rsidRDefault="004C0E36">
            <w:pPr>
              <w:pStyle w:val="TableParagraph"/>
              <w:spacing w:before="143"/>
              <w:ind w:left="107"/>
              <w:rPr>
                <w:b/>
                <w:sz w:val="18"/>
              </w:rPr>
            </w:pPr>
            <w:r>
              <w:rPr>
                <w:b/>
                <w:sz w:val="18"/>
              </w:rPr>
              <w:t>26.07.313B.484</w:t>
            </w:r>
          </w:p>
        </w:tc>
        <w:tc>
          <w:tcPr>
            <w:tcW w:w="463" w:type="dxa"/>
          </w:tcPr>
          <w:p w:rsidR="006C6F4F" w:rsidRDefault="004C0E36">
            <w:pPr>
              <w:pStyle w:val="TableParagraph"/>
              <w:spacing w:before="143"/>
              <w:ind w:left="179"/>
              <w:rPr>
                <w:b/>
                <w:sz w:val="18"/>
              </w:rPr>
            </w:pPr>
            <w:r>
              <w:rPr>
                <w:b/>
                <w:w w:val="99"/>
                <w:sz w:val="18"/>
              </w:rPr>
              <w:t>3</w:t>
            </w:r>
          </w:p>
        </w:tc>
        <w:tc>
          <w:tcPr>
            <w:tcW w:w="5776" w:type="dxa"/>
          </w:tcPr>
          <w:p w:rsidR="006C6F4F" w:rsidRDefault="004C0E36">
            <w:pPr>
              <w:pStyle w:val="TableParagraph"/>
              <w:spacing w:before="147"/>
              <w:ind w:left="108"/>
              <w:rPr>
                <w:sz w:val="18"/>
              </w:rPr>
            </w:pPr>
            <w:r>
              <w:rPr>
                <w:sz w:val="18"/>
              </w:rPr>
              <w:t xml:space="preserve">Ayudas sociales para personas con hemofilia u otras </w:t>
            </w:r>
            <w:proofErr w:type="spellStart"/>
            <w:r>
              <w:rPr>
                <w:sz w:val="18"/>
              </w:rPr>
              <w:t>coagulopatias</w:t>
            </w:r>
            <w:proofErr w:type="spellEnd"/>
            <w:r>
              <w:rPr>
                <w:sz w:val="18"/>
              </w:rPr>
              <w:t>.</w:t>
            </w:r>
          </w:p>
        </w:tc>
        <w:tc>
          <w:tcPr>
            <w:tcW w:w="1702" w:type="dxa"/>
          </w:tcPr>
          <w:p w:rsidR="006C6F4F" w:rsidRDefault="004C0E36">
            <w:pPr>
              <w:pStyle w:val="TableParagraph"/>
              <w:spacing w:before="147"/>
              <w:ind w:right="95"/>
              <w:jc w:val="right"/>
              <w:rPr>
                <w:sz w:val="18"/>
              </w:rPr>
            </w:pPr>
            <w:r>
              <w:rPr>
                <w:sz w:val="18"/>
              </w:rPr>
              <w:t>18.000</w:t>
            </w:r>
          </w:p>
        </w:tc>
      </w:tr>
      <w:tr w:rsidR="006C6F4F">
        <w:trPr>
          <w:trHeight w:val="621"/>
        </w:trPr>
        <w:tc>
          <w:tcPr>
            <w:tcW w:w="1668" w:type="dxa"/>
          </w:tcPr>
          <w:p w:rsidR="006C6F4F" w:rsidRDefault="006C6F4F">
            <w:pPr>
              <w:pStyle w:val="TableParagraph"/>
              <w:spacing w:before="7"/>
              <w:rPr>
                <w:rFonts w:ascii="Arial Narrow"/>
                <w:sz w:val="17"/>
              </w:rPr>
            </w:pPr>
          </w:p>
          <w:p w:rsidR="006C6F4F" w:rsidRDefault="004C0E36">
            <w:pPr>
              <w:pStyle w:val="TableParagraph"/>
              <w:spacing w:before="1"/>
              <w:ind w:left="107"/>
              <w:rPr>
                <w:b/>
                <w:sz w:val="18"/>
              </w:rPr>
            </w:pPr>
            <w:r>
              <w:rPr>
                <w:b/>
                <w:sz w:val="18"/>
              </w:rPr>
              <w:t>26.07.313B.488</w:t>
            </w:r>
          </w:p>
        </w:tc>
        <w:tc>
          <w:tcPr>
            <w:tcW w:w="463" w:type="dxa"/>
          </w:tcPr>
          <w:p w:rsidR="006C6F4F" w:rsidRDefault="006C6F4F">
            <w:pPr>
              <w:pStyle w:val="TableParagraph"/>
              <w:spacing w:before="7"/>
              <w:rPr>
                <w:rFonts w:ascii="Arial Narrow"/>
                <w:sz w:val="17"/>
              </w:rPr>
            </w:pPr>
          </w:p>
          <w:p w:rsidR="006C6F4F" w:rsidRDefault="004C0E36">
            <w:pPr>
              <w:pStyle w:val="TableParagraph"/>
              <w:spacing w:before="1"/>
              <w:ind w:left="179"/>
              <w:rPr>
                <w:b/>
                <w:sz w:val="18"/>
              </w:rPr>
            </w:pPr>
            <w:r>
              <w:rPr>
                <w:b/>
                <w:w w:val="99"/>
                <w:sz w:val="18"/>
              </w:rPr>
              <w:t>4</w:t>
            </w:r>
          </w:p>
        </w:tc>
        <w:tc>
          <w:tcPr>
            <w:tcW w:w="5776" w:type="dxa"/>
          </w:tcPr>
          <w:p w:rsidR="006C6F4F" w:rsidRDefault="004C0E36">
            <w:pPr>
              <w:pStyle w:val="TableParagraph"/>
              <w:spacing w:before="5" w:line="206" w:lineRule="exact"/>
              <w:ind w:left="108" w:right="155"/>
              <w:rPr>
                <w:sz w:val="18"/>
              </w:rPr>
            </w:pPr>
            <w:r>
              <w:rPr>
                <w:sz w:val="18"/>
              </w:rPr>
              <w:t>Para el pago de ayudas sociales a enfermos contaminados de VIH por tratamiento con hemoderivados por transfusiones sanguíneas y sus familiares.</w:t>
            </w:r>
          </w:p>
        </w:tc>
        <w:tc>
          <w:tcPr>
            <w:tcW w:w="1702" w:type="dxa"/>
          </w:tcPr>
          <w:p w:rsidR="006C6F4F" w:rsidRDefault="006C6F4F">
            <w:pPr>
              <w:pStyle w:val="TableParagraph"/>
              <w:spacing w:before="1"/>
              <w:rPr>
                <w:rFonts w:ascii="Arial Narrow"/>
                <w:sz w:val="18"/>
              </w:rPr>
            </w:pPr>
          </w:p>
          <w:p w:rsidR="006C6F4F" w:rsidRDefault="004C0E36">
            <w:pPr>
              <w:pStyle w:val="TableParagraph"/>
              <w:ind w:right="95"/>
              <w:jc w:val="right"/>
              <w:rPr>
                <w:sz w:val="18"/>
              </w:rPr>
            </w:pPr>
            <w:r>
              <w:rPr>
                <w:sz w:val="18"/>
              </w:rPr>
              <w:t>60.110</w:t>
            </w:r>
          </w:p>
        </w:tc>
      </w:tr>
      <w:tr w:rsidR="006C6F4F">
        <w:trPr>
          <w:trHeight w:val="595"/>
        </w:trPr>
        <w:tc>
          <w:tcPr>
            <w:tcW w:w="1668" w:type="dxa"/>
          </w:tcPr>
          <w:p w:rsidR="006C6F4F" w:rsidRDefault="006C6F4F">
            <w:pPr>
              <w:pStyle w:val="TableParagraph"/>
              <w:spacing w:before="5"/>
              <w:rPr>
                <w:rFonts w:ascii="Arial Narrow"/>
                <w:sz w:val="16"/>
              </w:rPr>
            </w:pPr>
          </w:p>
          <w:p w:rsidR="006C6F4F" w:rsidRDefault="004C0E36">
            <w:pPr>
              <w:pStyle w:val="TableParagraph"/>
              <w:ind w:left="107"/>
              <w:rPr>
                <w:b/>
                <w:sz w:val="18"/>
              </w:rPr>
            </w:pPr>
            <w:r>
              <w:rPr>
                <w:b/>
                <w:sz w:val="18"/>
              </w:rPr>
              <w:t>26.07.313B.454</w:t>
            </w:r>
          </w:p>
        </w:tc>
        <w:tc>
          <w:tcPr>
            <w:tcW w:w="463" w:type="dxa"/>
          </w:tcPr>
          <w:p w:rsidR="006C6F4F" w:rsidRDefault="006C6F4F">
            <w:pPr>
              <w:pStyle w:val="TableParagraph"/>
              <w:spacing w:before="5"/>
              <w:rPr>
                <w:rFonts w:ascii="Arial Narrow"/>
                <w:sz w:val="16"/>
              </w:rPr>
            </w:pPr>
          </w:p>
          <w:p w:rsidR="006C6F4F" w:rsidRDefault="004C0E36">
            <w:pPr>
              <w:pStyle w:val="TableParagraph"/>
              <w:ind w:left="179"/>
              <w:rPr>
                <w:b/>
                <w:sz w:val="18"/>
              </w:rPr>
            </w:pPr>
            <w:r>
              <w:rPr>
                <w:b/>
                <w:w w:val="99"/>
                <w:sz w:val="18"/>
              </w:rPr>
              <w:t>5</w:t>
            </w:r>
          </w:p>
        </w:tc>
        <w:tc>
          <w:tcPr>
            <w:tcW w:w="5776" w:type="dxa"/>
          </w:tcPr>
          <w:p w:rsidR="006C6F4F" w:rsidRDefault="004C0E36">
            <w:pPr>
              <w:pStyle w:val="TableParagraph"/>
              <w:spacing w:before="88"/>
              <w:ind w:left="108" w:right="1135"/>
              <w:rPr>
                <w:sz w:val="18"/>
              </w:rPr>
            </w:pPr>
            <w:r>
              <w:rPr>
                <w:sz w:val="18"/>
              </w:rPr>
              <w:t>A CC.AA. para Estrategias frente a enfermedades raras, enfermedades neurodegenerativas y vigilancia en salud.</w:t>
            </w:r>
          </w:p>
        </w:tc>
        <w:tc>
          <w:tcPr>
            <w:tcW w:w="1702" w:type="dxa"/>
          </w:tcPr>
          <w:p w:rsidR="006C6F4F" w:rsidRDefault="006C6F4F">
            <w:pPr>
              <w:pStyle w:val="TableParagraph"/>
              <w:spacing w:before="10"/>
              <w:rPr>
                <w:rFonts w:ascii="Arial Narrow"/>
                <w:sz w:val="16"/>
              </w:rPr>
            </w:pPr>
          </w:p>
          <w:p w:rsidR="006C6F4F" w:rsidRDefault="004C0E36">
            <w:pPr>
              <w:pStyle w:val="TableParagraph"/>
              <w:ind w:right="95"/>
              <w:jc w:val="right"/>
              <w:rPr>
                <w:sz w:val="18"/>
              </w:rPr>
            </w:pPr>
            <w:r>
              <w:rPr>
                <w:sz w:val="18"/>
              </w:rPr>
              <w:t>2.818.070</w:t>
            </w:r>
          </w:p>
        </w:tc>
      </w:tr>
      <w:tr w:rsidR="006C6F4F">
        <w:trPr>
          <w:trHeight w:val="829"/>
        </w:trPr>
        <w:tc>
          <w:tcPr>
            <w:tcW w:w="1668" w:type="dxa"/>
          </w:tcPr>
          <w:p w:rsidR="006C6F4F" w:rsidRDefault="006C6F4F">
            <w:pPr>
              <w:pStyle w:val="TableParagraph"/>
              <w:spacing w:before="7"/>
              <w:rPr>
                <w:rFonts w:ascii="Arial Narrow"/>
                <w:sz w:val="26"/>
              </w:rPr>
            </w:pPr>
          </w:p>
          <w:p w:rsidR="006C6F4F" w:rsidRDefault="004C0E36">
            <w:pPr>
              <w:pStyle w:val="TableParagraph"/>
              <w:spacing w:before="1"/>
              <w:ind w:left="107"/>
              <w:rPr>
                <w:b/>
                <w:sz w:val="18"/>
              </w:rPr>
            </w:pPr>
            <w:r>
              <w:rPr>
                <w:b/>
                <w:sz w:val="18"/>
              </w:rPr>
              <w:t>26.07.313B.457</w:t>
            </w:r>
          </w:p>
        </w:tc>
        <w:tc>
          <w:tcPr>
            <w:tcW w:w="463" w:type="dxa"/>
          </w:tcPr>
          <w:p w:rsidR="006C6F4F" w:rsidRDefault="006C6F4F">
            <w:pPr>
              <w:pStyle w:val="TableParagraph"/>
              <w:spacing w:before="7"/>
              <w:rPr>
                <w:rFonts w:ascii="Arial Narrow"/>
                <w:sz w:val="26"/>
              </w:rPr>
            </w:pPr>
          </w:p>
          <w:p w:rsidR="006C6F4F" w:rsidRDefault="004C0E36">
            <w:pPr>
              <w:pStyle w:val="TableParagraph"/>
              <w:spacing w:before="1"/>
              <w:ind w:left="179"/>
              <w:rPr>
                <w:b/>
                <w:sz w:val="18"/>
              </w:rPr>
            </w:pPr>
            <w:r>
              <w:rPr>
                <w:b/>
                <w:w w:val="99"/>
                <w:sz w:val="18"/>
              </w:rPr>
              <w:t>6</w:t>
            </w:r>
          </w:p>
        </w:tc>
        <w:tc>
          <w:tcPr>
            <w:tcW w:w="5776" w:type="dxa"/>
          </w:tcPr>
          <w:p w:rsidR="006C6F4F" w:rsidRDefault="004C0E36">
            <w:pPr>
              <w:pStyle w:val="TableParagraph"/>
              <w:spacing w:before="104"/>
              <w:ind w:left="108" w:right="155"/>
              <w:rPr>
                <w:sz w:val="18"/>
              </w:rPr>
            </w:pPr>
            <w:r>
              <w:rPr>
                <w:sz w:val="18"/>
              </w:rPr>
              <w:t>A CC.AA. para el desarrollo del plan anual de trabajo en la Red Española de Agencias de Evaluación de Tecnologías Sanitarias y Prestaciones del SNS.</w:t>
            </w:r>
          </w:p>
        </w:tc>
        <w:tc>
          <w:tcPr>
            <w:tcW w:w="1702" w:type="dxa"/>
          </w:tcPr>
          <w:p w:rsidR="006C6F4F" w:rsidRDefault="006C6F4F">
            <w:pPr>
              <w:pStyle w:val="TableParagraph"/>
              <w:spacing w:before="1"/>
              <w:rPr>
                <w:rFonts w:ascii="Arial Narrow"/>
                <w:sz w:val="27"/>
              </w:rPr>
            </w:pPr>
          </w:p>
          <w:p w:rsidR="006C6F4F" w:rsidRDefault="004C0E36">
            <w:pPr>
              <w:pStyle w:val="TableParagraph"/>
              <w:ind w:right="95"/>
              <w:jc w:val="right"/>
              <w:rPr>
                <w:sz w:val="18"/>
              </w:rPr>
            </w:pPr>
            <w:r>
              <w:rPr>
                <w:sz w:val="18"/>
              </w:rPr>
              <w:t>2.818.070</w:t>
            </w:r>
          </w:p>
        </w:tc>
      </w:tr>
      <w:tr w:rsidR="006C6F4F">
        <w:trPr>
          <w:trHeight w:val="702"/>
        </w:trPr>
        <w:tc>
          <w:tcPr>
            <w:tcW w:w="1668" w:type="dxa"/>
          </w:tcPr>
          <w:p w:rsidR="006C6F4F" w:rsidRDefault="006C6F4F">
            <w:pPr>
              <w:pStyle w:val="TableParagraph"/>
              <w:rPr>
                <w:rFonts w:ascii="Arial Narrow"/>
                <w:sz w:val="21"/>
              </w:rPr>
            </w:pPr>
          </w:p>
          <w:p w:rsidR="006C6F4F" w:rsidRDefault="004C0E36">
            <w:pPr>
              <w:pStyle w:val="TableParagraph"/>
              <w:ind w:left="107"/>
              <w:rPr>
                <w:b/>
                <w:sz w:val="18"/>
              </w:rPr>
            </w:pPr>
            <w:r>
              <w:rPr>
                <w:b/>
                <w:sz w:val="18"/>
              </w:rPr>
              <w:t>26.07.313B.458</w:t>
            </w:r>
          </w:p>
        </w:tc>
        <w:tc>
          <w:tcPr>
            <w:tcW w:w="463" w:type="dxa"/>
          </w:tcPr>
          <w:p w:rsidR="006C6F4F" w:rsidRDefault="006C6F4F">
            <w:pPr>
              <w:pStyle w:val="TableParagraph"/>
              <w:rPr>
                <w:rFonts w:ascii="Arial Narrow"/>
                <w:sz w:val="21"/>
              </w:rPr>
            </w:pPr>
          </w:p>
          <w:p w:rsidR="006C6F4F" w:rsidRDefault="004C0E36">
            <w:pPr>
              <w:pStyle w:val="TableParagraph"/>
              <w:ind w:left="179"/>
              <w:rPr>
                <w:b/>
                <w:sz w:val="18"/>
              </w:rPr>
            </w:pPr>
            <w:r>
              <w:rPr>
                <w:b/>
                <w:w w:val="99"/>
                <w:sz w:val="18"/>
              </w:rPr>
              <w:t>7</w:t>
            </w:r>
          </w:p>
        </w:tc>
        <w:tc>
          <w:tcPr>
            <w:tcW w:w="5776" w:type="dxa"/>
          </w:tcPr>
          <w:p w:rsidR="006C6F4F" w:rsidRDefault="004C0E36">
            <w:pPr>
              <w:pStyle w:val="TableParagraph"/>
              <w:spacing w:before="143"/>
              <w:ind w:left="108" w:right="155"/>
              <w:rPr>
                <w:sz w:val="18"/>
              </w:rPr>
            </w:pPr>
            <w:r>
              <w:rPr>
                <w:sz w:val="18"/>
              </w:rPr>
              <w:t>A CC.AA. para la mejora del sistema de información sanitaria del SNS.</w:t>
            </w:r>
          </w:p>
        </w:tc>
        <w:tc>
          <w:tcPr>
            <w:tcW w:w="1702" w:type="dxa"/>
          </w:tcPr>
          <w:p w:rsidR="006C6F4F" w:rsidRDefault="006C6F4F">
            <w:pPr>
              <w:pStyle w:val="TableParagraph"/>
              <w:spacing w:before="5"/>
              <w:rPr>
                <w:rFonts w:ascii="Arial Narrow"/>
                <w:sz w:val="21"/>
              </w:rPr>
            </w:pPr>
          </w:p>
          <w:p w:rsidR="006C6F4F" w:rsidRDefault="004C0E36">
            <w:pPr>
              <w:pStyle w:val="TableParagraph"/>
              <w:ind w:right="95"/>
              <w:jc w:val="right"/>
              <w:rPr>
                <w:sz w:val="18"/>
              </w:rPr>
            </w:pPr>
            <w:r>
              <w:rPr>
                <w:sz w:val="18"/>
              </w:rPr>
              <w:t>2.006.950</w:t>
            </w:r>
          </w:p>
        </w:tc>
      </w:tr>
      <w:tr w:rsidR="006C6F4F">
        <w:trPr>
          <w:trHeight w:val="426"/>
        </w:trPr>
        <w:tc>
          <w:tcPr>
            <w:tcW w:w="2131" w:type="dxa"/>
            <w:gridSpan w:val="2"/>
            <w:tcBorders>
              <w:left w:val="nil"/>
            </w:tcBorders>
          </w:tcPr>
          <w:p w:rsidR="006C6F4F" w:rsidRDefault="006C6F4F">
            <w:pPr>
              <w:pStyle w:val="TableParagraph"/>
              <w:rPr>
                <w:rFonts w:ascii="Times New Roman"/>
                <w:sz w:val="18"/>
              </w:rPr>
            </w:pPr>
          </w:p>
        </w:tc>
        <w:tc>
          <w:tcPr>
            <w:tcW w:w="5776" w:type="dxa"/>
            <w:shd w:val="clear" w:color="auto" w:fill="B8CCE3"/>
          </w:tcPr>
          <w:p w:rsidR="006C6F4F" w:rsidRDefault="004C0E36">
            <w:pPr>
              <w:pStyle w:val="TableParagraph"/>
              <w:spacing w:before="81"/>
              <w:ind w:right="96"/>
              <w:jc w:val="right"/>
              <w:rPr>
                <w:b/>
              </w:rPr>
            </w:pPr>
            <w:r>
              <w:rPr>
                <w:b/>
              </w:rPr>
              <w:t>TOTAL………………………………</w:t>
            </w:r>
          </w:p>
        </w:tc>
        <w:tc>
          <w:tcPr>
            <w:tcW w:w="1702" w:type="dxa"/>
            <w:shd w:val="clear" w:color="auto" w:fill="B8CCE3"/>
          </w:tcPr>
          <w:p w:rsidR="006C6F4F" w:rsidRDefault="004C0E36">
            <w:pPr>
              <w:pStyle w:val="TableParagraph"/>
              <w:spacing w:before="81"/>
              <w:ind w:right="93"/>
              <w:jc w:val="right"/>
              <w:rPr>
                <w:b/>
              </w:rPr>
            </w:pPr>
            <w:r>
              <w:rPr>
                <w:b/>
              </w:rPr>
              <w:t>10.731.200</w:t>
            </w:r>
          </w:p>
        </w:tc>
      </w:tr>
      <w:tr w:rsidR="006C6F4F">
        <w:trPr>
          <w:trHeight w:val="633"/>
        </w:trPr>
        <w:tc>
          <w:tcPr>
            <w:tcW w:w="9609" w:type="dxa"/>
            <w:gridSpan w:val="4"/>
            <w:shd w:val="clear" w:color="auto" w:fill="FAD3B4"/>
          </w:tcPr>
          <w:p w:rsidR="006C6F4F" w:rsidRDefault="004C0E36">
            <w:pPr>
              <w:pStyle w:val="TableParagraph"/>
              <w:spacing w:before="104"/>
              <w:ind w:left="2729" w:hanging="2022"/>
              <w:rPr>
                <w:b/>
                <w:sz w:val="18"/>
              </w:rPr>
            </w:pPr>
            <w:r>
              <w:rPr>
                <w:b/>
                <w:sz w:val="18"/>
              </w:rPr>
              <w:t>APLICACIONES EXCEPCIONADAS POR EL ARTICULO 2.4.C DEL REGLAMENTO DE LA LEY DE SUBVENCIONES (CUOTAS INTERNACIONALES)</w:t>
            </w:r>
          </w:p>
        </w:tc>
      </w:tr>
      <w:tr w:rsidR="006C6F4F">
        <w:trPr>
          <w:trHeight w:val="636"/>
        </w:trPr>
        <w:tc>
          <w:tcPr>
            <w:tcW w:w="1668" w:type="dxa"/>
          </w:tcPr>
          <w:p w:rsidR="006C6F4F" w:rsidRDefault="006C6F4F">
            <w:pPr>
              <w:pStyle w:val="TableParagraph"/>
              <w:spacing w:before="1"/>
              <w:rPr>
                <w:rFonts w:ascii="Arial Narrow"/>
                <w:sz w:val="18"/>
              </w:rPr>
            </w:pPr>
          </w:p>
          <w:p w:rsidR="006C6F4F" w:rsidRDefault="004C0E36">
            <w:pPr>
              <w:pStyle w:val="TableParagraph"/>
              <w:ind w:left="107"/>
              <w:rPr>
                <w:b/>
                <w:sz w:val="18"/>
              </w:rPr>
            </w:pPr>
            <w:r>
              <w:rPr>
                <w:b/>
                <w:sz w:val="18"/>
              </w:rPr>
              <w:t>26.07.313B.491</w:t>
            </w:r>
          </w:p>
        </w:tc>
        <w:tc>
          <w:tcPr>
            <w:tcW w:w="463" w:type="dxa"/>
          </w:tcPr>
          <w:p w:rsidR="006C6F4F" w:rsidRDefault="006C6F4F">
            <w:pPr>
              <w:pStyle w:val="TableParagraph"/>
              <w:spacing w:before="1"/>
              <w:rPr>
                <w:rFonts w:ascii="Arial Narrow"/>
                <w:sz w:val="18"/>
              </w:rPr>
            </w:pPr>
          </w:p>
          <w:p w:rsidR="006C6F4F" w:rsidRDefault="004C0E36">
            <w:pPr>
              <w:pStyle w:val="TableParagraph"/>
              <w:ind w:left="179"/>
              <w:rPr>
                <w:b/>
                <w:sz w:val="18"/>
              </w:rPr>
            </w:pPr>
            <w:r>
              <w:rPr>
                <w:b/>
                <w:w w:val="99"/>
                <w:sz w:val="18"/>
              </w:rPr>
              <w:t>8</w:t>
            </w:r>
          </w:p>
        </w:tc>
        <w:tc>
          <w:tcPr>
            <w:tcW w:w="5776" w:type="dxa"/>
          </w:tcPr>
          <w:p w:rsidR="006C6F4F" w:rsidRDefault="006C6F4F">
            <w:pPr>
              <w:pStyle w:val="TableParagraph"/>
              <w:spacing w:before="1"/>
              <w:rPr>
                <w:rFonts w:ascii="Arial Narrow"/>
                <w:sz w:val="18"/>
              </w:rPr>
            </w:pPr>
          </w:p>
          <w:p w:rsidR="006C6F4F" w:rsidRDefault="004C0E36">
            <w:pPr>
              <w:pStyle w:val="TableParagraph"/>
              <w:ind w:left="108"/>
              <w:rPr>
                <w:rFonts w:ascii="Calibri" w:hAnsi="Calibri"/>
                <w:sz w:val="18"/>
              </w:rPr>
            </w:pPr>
            <w:r>
              <w:rPr>
                <w:rFonts w:ascii="Calibri" w:hAnsi="Calibri"/>
                <w:sz w:val="18"/>
              </w:rPr>
              <w:t>A la Oficina de la Organización Mundial de la Salud.</w:t>
            </w:r>
          </w:p>
        </w:tc>
        <w:tc>
          <w:tcPr>
            <w:tcW w:w="1702" w:type="dxa"/>
          </w:tcPr>
          <w:p w:rsidR="006C6F4F" w:rsidRDefault="006C6F4F">
            <w:pPr>
              <w:pStyle w:val="TableParagraph"/>
              <w:spacing w:before="6"/>
              <w:rPr>
                <w:rFonts w:ascii="Arial Narrow"/>
                <w:sz w:val="18"/>
              </w:rPr>
            </w:pPr>
          </w:p>
          <w:p w:rsidR="006C6F4F" w:rsidRDefault="004C0E36">
            <w:pPr>
              <w:pStyle w:val="TableParagraph"/>
              <w:ind w:right="95"/>
              <w:jc w:val="right"/>
              <w:rPr>
                <w:sz w:val="18"/>
              </w:rPr>
            </w:pPr>
            <w:r>
              <w:rPr>
                <w:sz w:val="18"/>
              </w:rPr>
              <w:t>767.000</w:t>
            </w:r>
          </w:p>
        </w:tc>
      </w:tr>
      <w:tr w:rsidR="006C6F4F">
        <w:trPr>
          <w:trHeight w:val="424"/>
        </w:trPr>
        <w:tc>
          <w:tcPr>
            <w:tcW w:w="2131" w:type="dxa"/>
            <w:gridSpan w:val="2"/>
            <w:tcBorders>
              <w:left w:val="nil"/>
            </w:tcBorders>
          </w:tcPr>
          <w:p w:rsidR="006C6F4F" w:rsidRDefault="006C6F4F">
            <w:pPr>
              <w:pStyle w:val="TableParagraph"/>
              <w:rPr>
                <w:rFonts w:ascii="Times New Roman"/>
                <w:sz w:val="18"/>
              </w:rPr>
            </w:pPr>
          </w:p>
        </w:tc>
        <w:tc>
          <w:tcPr>
            <w:tcW w:w="5776" w:type="dxa"/>
            <w:shd w:val="clear" w:color="auto" w:fill="B8CCE3"/>
          </w:tcPr>
          <w:p w:rsidR="006C6F4F" w:rsidRDefault="004C0E36">
            <w:pPr>
              <w:pStyle w:val="TableParagraph"/>
              <w:spacing w:before="81"/>
              <w:ind w:right="96"/>
              <w:jc w:val="right"/>
              <w:rPr>
                <w:b/>
              </w:rPr>
            </w:pPr>
            <w:r>
              <w:rPr>
                <w:b/>
              </w:rPr>
              <w:t>TOTAL………………………………</w:t>
            </w:r>
          </w:p>
        </w:tc>
        <w:tc>
          <w:tcPr>
            <w:tcW w:w="1702" w:type="dxa"/>
            <w:shd w:val="clear" w:color="auto" w:fill="B8CCE3"/>
          </w:tcPr>
          <w:p w:rsidR="006C6F4F" w:rsidRDefault="004C0E36">
            <w:pPr>
              <w:pStyle w:val="TableParagraph"/>
              <w:spacing w:before="81"/>
              <w:ind w:right="93"/>
              <w:jc w:val="right"/>
              <w:rPr>
                <w:b/>
              </w:rPr>
            </w:pPr>
            <w:r>
              <w:rPr>
                <w:b/>
              </w:rPr>
              <w:t>767.000</w:t>
            </w:r>
          </w:p>
        </w:tc>
      </w:tr>
      <w:tr w:rsidR="006C6F4F">
        <w:trPr>
          <w:trHeight w:val="426"/>
        </w:trPr>
        <w:tc>
          <w:tcPr>
            <w:tcW w:w="2131" w:type="dxa"/>
            <w:gridSpan w:val="2"/>
            <w:tcBorders>
              <w:left w:val="nil"/>
              <w:bottom w:val="nil"/>
            </w:tcBorders>
          </w:tcPr>
          <w:p w:rsidR="006C6F4F" w:rsidRDefault="006C6F4F">
            <w:pPr>
              <w:pStyle w:val="TableParagraph"/>
              <w:rPr>
                <w:rFonts w:ascii="Times New Roman"/>
                <w:sz w:val="18"/>
              </w:rPr>
            </w:pPr>
          </w:p>
        </w:tc>
        <w:tc>
          <w:tcPr>
            <w:tcW w:w="5776" w:type="dxa"/>
            <w:shd w:val="clear" w:color="auto" w:fill="94B3D6"/>
          </w:tcPr>
          <w:p w:rsidR="006C6F4F" w:rsidRDefault="004C0E36">
            <w:pPr>
              <w:pStyle w:val="TableParagraph"/>
              <w:spacing w:before="81"/>
              <w:ind w:right="96"/>
              <w:jc w:val="right"/>
              <w:rPr>
                <w:b/>
              </w:rPr>
            </w:pPr>
            <w:r>
              <w:rPr>
                <w:b/>
              </w:rPr>
              <w:t>TOTAL………………………………</w:t>
            </w:r>
          </w:p>
        </w:tc>
        <w:tc>
          <w:tcPr>
            <w:tcW w:w="1702" w:type="dxa"/>
            <w:shd w:val="clear" w:color="auto" w:fill="94B3D6"/>
          </w:tcPr>
          <w:p w:rsidR="006C6F4F" w:rsidRDefault="004C0E36">
            <w:pPr>
              <w:pStyle w:val="TableParagraph"/>
              <w:spacing w:before="81"/>
              <w:ind w:right="93"/>
              <w:jc w:val="right"/>
              <w:rPr>
                <w:b/>
              </w:rPr>
            </w:pPr>
            <w:r>
              <w:rPr>
                <w:b/>
              </w:rPr>
              <w:t>11.498.200</w:t>
            </w:r>
          </w:p>
        </w:tc>
      </w:tr>
    </w:tbl>
    <w:p w:rsidR="006C6F4F" w:rsidRDefault="006C6F4F">
      <w:pPr>
        <w:jc w:val="right"/>
        <w:sectPr w:rsidR="006C6F4F">
          <w:pgSz w:w="11910" w:h="16840"/>
          <w:pgMar w:top="1480" w:right="580" w:bottom="920" w:left="1480" w:header="295" w:footer="734" w:gutter="0"/>
          <w:cols w:space="720"/>
        </w:sect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spacing w:before="4" w:after="1"/>
        <w:rPr>
          <w:sz w:val="14"/>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425"/>
        <w:gridCol w:w="5673"/>
        <w:gridCol w:w="1810"/>
      </w:tblGrid>
      <w:tr w:rsidR="006C6F4F">
        <w:trPr>
          <w:trHeight w:val="633"/>
        </w:trPr>
        <w:tc>
          <w:tcPr>
            <w:tcW w:w="9610" w:type="dxa"/>
            <w:gridSpan w:val="4"/>
            <w:shd w:val="clear" w:color="auto" w:fill="B8CCE3"/>
          </w:tcPr>
          <w:p w:rsidR="006C6F4F" w:rsidRDefault="004C0E36">
            <w:pPr>
              <w:pStyle w:val="TableParagraph"/>
              <w:spacing w:before="179"/>
              <w:ind w:left="1221" w:right="1218"/>
              <w:jc w:val="center"/>
              <w:rPr>
                <w:rFonts w:ascii="Calibri" w:hAnsi="Calibri"/>
                <w:b/>
              </w:rPr>
            </w:pPr>
            <w:r>
              <w:rPr>
                <w:rFonts w:ascii="Calibri" w:hAnsi="Calibri"/>
                <w:b/>
              </w:rPr>
              <w:t>DIRECCION GENERAL DE CARTERA BÁSICA DE SERVICIOS DEL SNS Y FARMACIA</w:t>
            </w:r>
          </w:p>
        </w:tc>
      </w:tr>
      <w:tr w:rsidR="006C6F4F">
        <w:trPr>
          <w:trHeight w:val="841"/>
        </w:trPr>
        <w:tc>
          <w:tcPr>
            <w:tcW w:w="1702" w:type="dxa"/>
          </w:tcPr>
          <w:p w:rsidR="006C6F4F" w:rsidRDefault="006C6F4F">
            <w:pPr>
              <w:pStyle w:val="TableParagraph"/>
              <w:spacing w:before="1"/>
              <w:rPr>
                <w:rFonts w:ascii="Arial Narrow"/>
                <w:sz w:val="27"/>
              </w:rPr>
            </w:pPr>
          </w:p>
          <w:p w:rsidR="006C6F4F" w:rsidRDefault="004C0E36">
            <w:pPr>
              <w:pStyle w:val="TableParagraph"/>
              <w:ind w:left="107"/>
              <w:rPr>
                <w:b/>
                <w:sz w:val="18"/>
              </w:rPr>
            </w:pPr>
            <w:r>
              <w:rPr>
                <w:b/>
                <w:sz w:val="18"/>
              </w:rPr>
              <w:t>26.09.313A.450</w:t>
            </w:r>
          </w:p>
        </w:tc>
        <w:tc>
          <w:tcPr>
            <w:tcW w:w="425" w:type="dxa"/>
          </w:tcPr>
          <w:p w:rsidR="006C6F4F" w:rsidRDefault="006C6F4F">
            <w:pPr>
              <w:pStyle w:val="TableParagraph"/>
              <w:spacing w:before="1"/>
              <w:rPr>
                <w:rFonts w:ascii="Arial Narrow"/>
                <w:sz w:val="27"/>
              </w:rPr>
            </w:pPr>
          </w:p>
          <w:p w:rsidR="006C6F4F" w:rsidRDefault="004C0E36">
            <w:pPr>
              <w:pStyle w:val="TableParagraph"/>
              <w:ind w:left="160"/>
              <w:rPr>
                <w:b/>
                <w:sz w:val="18"/>
              </w:rPr>
            </w:pPr>
            <w:r>
              <w:rPr>
                <w:b/>
                <w:w w:val="99"/>
                <w:sz w:val="18"/>
              </w:rPr>
              <w:t>1</w:t>
            </w:r>
          </w:p>
        </w:tc>
        <w:tc>
          <w:tcPr>
            <w:tcW w:w="5673" w:type="dxa"/>
          </w:tcPr>
          <w:p w:rsidR="006C6F4F" w:rsidRDefault="006C6F4F">
            <w:pPr>
              <w:pStyle w:val="TableParagraph"/>
              <w:spacing w:before="6"/>
              <w:rPr>
                <w:rFonts w:ascii="Arial Narrow"/>
                <w:sz w:val="18"/>
              </w:rPr>
            </w:pPr>
          </w:p>
          <w:p w:rsidR="006C6F4F" w:rsidRDefault="004C0E36">
            <w:pPr>
              <w:pStyle w:val="TableParagraph"/>
              <w:ind w:left="107" w:right="83"/>
              <w:rPr>
                <w:sz w:val="18"/>
              </w:rPr>
            </w:pPr>
            <w:r>
              <w:rPr>
                <w:sz w:val="18"/>
              </w:rPr>
              <w:t>Programa de reasentamiento y reubicación de refugiados Consejo de Justicia y Asuntos de Interior de la U.E. (J.A.I.)</w:t>
            </w:r>
          </w:p>
        </w:tc>
        <w:tc>
          <w:tcPr>
            <w:tcW w:w="1810" w:type="dxa"/>
          </w:tcPr>
          <w:p w:rsidR="006C6F4F" w:rsidRDefault="006C6F4F">
            <w:pPr>
              <w:pStyle w:val="TableParagraph"/>
              <w:spacing w:before="1"/>
              <w:rPr>
                <w:rFonts w:ascii="Arial Narrow"/>
                <w:sz w:val="27"/>
              </w:rPr>
            </w:pPr>
          </w:p>
          <w:p w:rsidR="006C6F4F" w:rsidRDefault="004C0E36">
            <w:pPr>
              <w:pStyle w:val="TableParagraph"/>
              <w:ind w:right="99"/>
              <w:jc w:val="right"/>
              <w:rPr>
                <w:b/>
                <w:sz w:val="18"/>
              </w:rPr>
            </w:pPr>
            <w:r>
              <w:rPr>
                <w:b/>
                <w:sz w:val="18"/>
              </w:rPr>
              <w:t>1.750.000</w:t>
            </w:r>
          </w:p>
        </w:tc>
      </w:tr>
      <w:tr w:rsidR="006C6F4F">
        <w:trPr>
          <w:trHeight w:val="856"/>
        </w:trPr>
        <w:tc>
          <w:tcPr>
            <w:tcW w:w="1702" w:type="dxa"/>
          </w:tcPr>
          <w:p w:rsidR="006C6F4F" w:rsidRDefault="006C6F4F">
            <w:pPr>
              <w:pStyle w:val="TableParagraph"/>
              <w:spacing w:before="10"/>
              <w:rPr>
                <w:rFonts w:ascii="Arial Narrow"/>
                <w:sz w:val="27"/>
              </w:rPr>
            </w:pPr>
          </w:p>
          <w:p w:rsidR="006C6F4F" w:rsidRDefault="004C0E36">
            <w:pPr>
              <w:pStyle w:val="TableParagraph"/>
              <w:ind w:left="107"/>
              <w:rPr>
                <w:b/>
                <w:sz w:val="18"/>
              </w:rPr>
            </w:pPr>
            <w:r>
              <w:rPr>
                <w:b/>
                <w:sz w:val="18"/>
              </w:rPr>
              <w:t>26.09.313A.451</w:t>
            </w:r>
          </w:p>
        </w:tc>
        <w:tc>
          <w:tcPr>
            <w:tcW w:w="425" w:type="dxa"/>
          </w:tcPr>
          <w:p w:rsidR="006C6F4F" w:rsidRDefault="006C6F4F">
            <w:pPr>
              <w:pStyle w:val="TableParagraph"/>
              <w:spacing w:before="10"/>
              <w:rPr>
                <w:rFonts w:ascii="Arial Narrow"/>
                <w:sz w:val="27"/>
              </w:rPr>
            </w:pPr>
          </w:p>
          <w:p w:rsidR="006C6F4F" w:rsidRDefault="004C0E36">
            <w:pPr>
              <w:pStyle w:val="TableParagraph"/>
              <w:ind w:left="160"/>
              <w:rPr>
                <w:b/>
                <w:sz w:val="18"/>
              </w:rPr>
            </w:pPr>
            <w:r>
              <w:rPr>
                <w:b/>
                <w:w w:val="99"/>
                <w:sz w:val="18"/>
              </w:rPr>
              <w:t>2</w:t>
            </w:r>
          </w:p>
        </w:tc>
        <w:tc>
          <w:tcPr>
            <w:tcW w:w="5673" w:type="dxa"/>
          </w:tcPr>
          <w:p w:rsidR="006C6F4F" w:rsidRDefault="004C0E36">
            <w:pPr>
              <w:pStyle w:val="TableParagraph"/>
              <w:spacing w:before="116"/>
              <w:ind w:left="107"/>
              <w:rPr>
                <w:sz w:val="18"/>
              </w:rPr>
            </w:pPr>
            <w:r>
              <w:rPr>
                <w:sz w:val="18"/>
              </w:rPr>
              <w:t>Transferencia a CC.AA. para financiar gastos de personal para desarrollar la política de Cohesión Sanitaria y Formación continuada en el uso racional de medicamentos.</w:t>
            </w:r>
          </w:p>
        </w:tc>
        <w:tc>
          <w:tcPr>
            <w:tcW w:w="1810" w:type="dxa"/>
          </w:tcPr>
          <w:p w:rsidR="006C6F4F" w:rsidRDefault="006C6F4F">
            <w:pPr>
              <w:pStyle w:val="TableParagraph"/>
              <w:spacing w:before="10"/>
              <w:rPr>
                <w:rFonts w:ascii="Arial Narrow"/>
                <w:sz w:val="27"/>
              </w:rPr>
            </w:pPr>
          </w:p>
          <w:p w:rsidR="006C6F4F" w:rsidRDefault="004C0E36">
            <w:pPr>
              <w:pStyle w:val="TableParagraph"/>
              <w:ind w:right="99"/>
              <w:jc w:val="right"/>
              <w:rPr>
                <w:b/>
                <w:sz w:val="18"/>
              </w:rPr>
            </w:pPr>
            <w:r>
              <w:rPr>
                <w:b/>
                <w:sz w:val="18"/>
              </w:rPr>
              <w:t>205.943.538</w:t>
            </w:r>
          </w:p>
        </w:tc>
      </w:tr>
      <w:tr w:rsidR="006C6F4F">
        <w:trPr>
          <w:trHeight w:val="954"/>
        </w:trPr>
        <w:tc>
          <w:tcPr>
            <w:tcW w:w="1702" w:type="dxa"/>
          </w:tcPr>
          <w:p w:rsidR="006C6F4F" w:rsidRDefault="006C6F4F">
            <w:pPr>
              <w:pStyle w:val="TableParagraph"/>
              <w:rPr>
                <w:rFonts w:ascii="Arial Narrow"/>
                <w:sz w:val="20"/>
              </w:rPr>
            </w:pPr>
          </w:p>
          <w:p w:rsidR="006C6F4F" w:rsidRDefault="004C0E36">
            <w:pPr>
              <w:pStyle w:val="TableParagraph"/>
              <w:spacing w:before="139"/>
              <w:ind w:left="107"/>
              <w:rPr>
                <w:b/>
                <w:sz w:val="18"/>
              </w:rPr>
            </w:pPr>
            <w:r>
              <w:rPr>
                <w:b/>
                <w:sz w:val="18"/>
              </w:rPr>
              <w:t>26.09.313A.452</w:t>
            </w:r>
          </w:p>
        </w:tc>
        <w:tc>
          <w:tcPr>
            <w:tcW w:w="425" w:type="dxa"/>
          </w:tcPr>
          <w:p w:rsidR="006C6F4F" w:rsidRDefault="006C6F4F">
            <w:pPr>
              <w:pStyle w:val="TableParagraph"/>
              <w:rPr>
                <w:rFonts w:ascii="Arial Narrow"/>
                <w:sz w:val="20"/>
              </w:rPr>
            </w:pPr>
          </w:p>
          <w:p w:rsidR="006C6F4F" w:rsidRDefault="004C0E36">
            <w:pPr>
              <w:pStyle w:val="TableParagraph"/>
              <w:spacing w:before="139"/>
              <w:ind w:left="160"/>
              <w:rPr>
                <w:b/>
                <w:sz w:val="18"/>
              </w:rPr>
            </w:pPr>
            <w:r>
              <w:rPr>
                <w:b/>
                <w:w w:val="99"/>
                <w:sz w:val="18"/>
              </w:rPr>
              <w:t>3</w:t>
            </w:r>
          </w:p>
        </w:tc>
        <w:tc>
          <w:tcPr>
            <w:tcW w:w="5673" w:type="dxa"/>
          </w:tcPr>
          <w:p w:rsidR="006C6F4F" w:rsidRDefault="006C6F4F">
            <w:pPr>
              <w:pStyle w:val="TableParagraph"/>
              <w:spacing w:before="6"/>
              <w:rPr>
                <w:rFonts w:ascii="Arial Narrow"/>
                <w:sz w:val="23"/>
              </w:rPr>
            </w:pPr>
          </w:p>
          <w:p w:rsidR="006C6F4F" w:rsidRDefault="004C0E36">
            <w:pPr>
              <w:pStyle w:val="TableParagraph"/>
              <w:ind w:left="107" w:right="83"/>
              <w:rPr>
                <w:sz w:val="18"/>
              </w:rPr>
            </w:pPr>
            <w:r>
              <w:rPr>
                <w:sz w:val="18"/>
              </w:rPr>
              <w:t>Transferencia a CC.AA. para toda clase de gastos para el desarrollo del Plan Nacional de Donación de médula ósea</w:t>
            </w:r>
          </w:p>
        </w:tc>
        <w:tc>
          <w:tcPr>
            <w:tcW w:w="1810" w:type="dxa"/>
          </w:tcPr>
          <w:p w:rsidR="006C6F4F" w:rsidRDefault="006C6F4F">
            <w:pPr>
              <w:pStyle w:val="TableParagraph"/>
              <w:rPr>
                <w:rFonts w:ascii="Times New Roman"/>
                <w:sz w:val="18"/>
              </w:rPr>
            </w:pPr>
          </w:p>
        </w:tc>
      </w:tr>
      <w:tr w:rsidR="006C6F4F">
        <w:trPr>
          <w:trHeight w:val="424"/>
        </w:trPr>
        <w:tc>
          <w:tcPr>
            <w:tcW w:w="2127" w:type="dxa"/>
            <w:gridSpan w:val="2"/>
            <w:tcBorders>
              <w:left w:val="nil"/>
              <w:bottom w:val="nil"/>
            </w:tcBorders>
          </w:tcPr>
          <w:p w:rsidR="006C6F4F" w:rsidRDefault="006C6F4F">
            <w:pPr>
              <w:pStyle w:val="TableParagraph"/>
              <w:rPr>
                <w:rFonts w:ascii="Times New Roman"/>
                <w:sz w:val="18"/>
              </w:rPr>
            </w:pPr>
          </w:p>
        </w:tc>
        <w:tc>
          <w:tcPr>
            <w:tcW w:w="5673" w:type="dxa"/>
            <w:shd w:val="clear" w:color="auto" w:fill="B8CCE3"/>
          </w:tcPr>
          <w:p w:rsidR="006C6F4F" w:rsidRDefault="004C0E36">
            <w:pPr>
              <w:pStyle w:val="TableParagraph"/>
              <w:spacing w:before="102"/>
              <w:ind w:left="2800"/>
              <w:rPr>
                <w:b/>
                <w:sz w:val="18"/>
              </w:rPr>
            </w:pPr>
            <w:r>
              <w:rPr>
                <w:b/>
                <w:sz w:val="18"/>
              </w:rPr>
              <w:t>TOTAL………………………………</w:t>
            </w:r>
          </w:p>
        </w:tc>
        <w:tc>
          <w:tcPr>
            <w:tcW w:w="1810" w:type="dxa"/>
            <w:shd w:val="clear" w:color="auto" w:fill="B8CCE3"/>
          </w:tcPr>
          <w:p w:rsidR="006C6F4F" w:rsidRDefault="004C0E36">
            <w:pPr>
              <w:pStyle w:val="TableParagraph"/>
              <w:spacing w:before="102"/>
              <w:ind w:right="99"/>
              <w:jc w:val="right"/>
              <w:rPr>
                <w:b/>
                <w:sz w:val="18"/>
              </w:rPr>
            </w:pPr>
            <w:r>
              <w:rPr>
                <w:b/>
                <w:sz w:val="18"/>
              </w:rPr>
              <w:t>207.693.538</w:t>
            </w:r>
          </w:p>
        </w:tc>
      </w:tr>
    </w:tbl>
    <w:p w:rsidR="006C6F4F" w:rsidRDefault="006C6F4F">
      <w:pPr>
        <w:jc w:val="right"/>
        <w:rPr>
          <w:sz w:val="18"/>
        </w:rPr>
        <w:sectPr w:rsidR="006C6F4F">
          <w:pgSz w:w="11910" w:h="16840"/>
          <w:pgMar w:top="1480" w:right="580" w:bottom="920" w:left="1480" w:header="295" w:footer="734" w:gutter="0"/>
          <w:cols w:space="720"/>
        </w:sect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1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458"/>
        <w:gridCol w:w="5956"/>
        <w:gridCol w:w="1531"/>
      </w:tblGrid>
      <w:tr w:rsidR="006C6F4F">
        <w:trPr>
          <w:trHeight w:val="678"/>
        </w:trPr>
        <w:tc>
          <w:tcPr>
            <w:tcW w:w="9608" w:type="dxa"/>
            <w:gridSpan w:val="4"/>
            <w:shd w:val="clear" w:color="auto" w:fill="B8CCE3"/>
          </w:tcPr>
          <w:p w:rsidR="006C6F4F" w:rsidRDefault="006C6F4F">
            <w:pPr>
              <w:pStyle w:val="TableParagraph"/>
              <w:spacing w:before="11"/>
              <w:rPr>
                <w:rFonts w:ascii="Arial Narrow"/>
                <w:sz w:val="19"/>
              </w:rPr>
            </w:pPr>
          </w:p>
          <w:p w:rsidR="006C6F4F" w:rsidRDefault="004C0E36">
            <w:pPr>
              <w:pStyle w:val="TableParagraph"/>
              <w:ind w:left="1504" w:right="1503"/>
              <w:jc w:val="center"/>
              <w:rPr>
                <w:b/>
                <w:sz w:val="18"/>
              </w:rPr>
            </w:pPr>
            <w:r>
              <w:rPr>
                <w:b/>
                <w:sz w:val="18"/>
              </w:rPr>
              <w:t>DELEGACION DEL GOBIERNO PARA EL PLAN NACIONAL SOBRE DROGAS</w:t>
            </w:r>
          </w:p>
        </w:tc>
      </w:tr>
      <w:tr w:rsidR="006C6F4F">
        <w:trPr>
          <w:trHeight w:val="681"/>
        </w:trPr>
        <w:tc>
          <w:tcPr>
            <w:tcW w:w="1663" w:type="dxa"/>
          </w:tcPr>
          <w:p w:rsidR="006C6F4F" w:rsidRDefault="006C6F4F">
            <w:pPr>
              <w:pStyle w:val="TableParagraph"/>
              <w:spacing w:before="10"/>
              <w:rPr>
                <w:rFonts w:ascii="Arial Narrow"/>
                <w:sz w:val="18"/>
              </w:rPr>
            </w:pPr>
          </w:p>
          <w:p w:rsidR="006C6F4F" w:rsidRDefault="004C0E36">
            <w:pPr>
              <w:pStyle w:val="TableParagraph"/>
              <w:spacing w:before="1"/>
              <w:ind w:left="107"/>
              <w:rPr>
                <w:rFonts w:ascii="Calibri"/>
                <w:b/>
                <w:sz w:val="20"/>
              </w:rPr>
            </w:pPr>
            <w:r>
              <w:rPr>
                <w:rFonts w:ascii="Calibri"/>
                <w:b/>
                <w:sz w:val="20"/>
              </w:rPr>
              <w:t>26.18.231A.483</w:t>
            </w:r>
          </w:p>
        </w:tc>
        <w:tc>
          <w:tcPr>
            <w:tcW w:w="458" w:type="dxa"/>
          </w:tcPr>
          <w:p w:rsidR="006C6F4F" w:rsidRDefault="006C6F4F">
            <w:pPr>
              <w:pStyle w:val="TableParagraph"/>
              <w:spacing w:before="2"/>
              <w:rPr>
                <w:rFonts w:ascii="Arial Narrow"/>
                <w:sz w:val="20"/>
              </w:rPr>
            </w:pPr>
          </w:p>
          <w:p w:rsidR="006C6F4F" w:rsidRDefault="004C0E36">
            <w:pPr>
              <w:pStyle w:val="TableParagraph"/>
              <w:ind w:left="7"/>
              <w:jc w:val="center"/>
              <w:rPr>
                <w:b/>
                <w:sz w:val="18"/>
              </w:rPr>
            </w:pPr>
            <w:r>
              <w:rPr>
                <w:b/>
                <w:w w:val="99"/>
                <w:sz w:val="18"/>
              </w:rPr>
              <w:t>1</w:t>
            </w:r>
          </w:p>
        </w:tc>
        <w:tc>
          <w:tcPr>
            <w:tcW w:w="5956" w:type="dxa"/>
          </w:tcPr>
          <w:p w:rsidR="006C6F4F" w:rsidRDefault="006C6F4F">
            <w:pPr>
              <w:pStyle w:val="TableParagraph"/>
              <w:spacing w:before="7"/>
              <w:rPr>
                <w:rFonts w:ascii="Arial Narrow"/>
                <w:sz w:val="20"/>
              </w:rPr>
            </w:pPr>
          </w:p>
          <w:p w:rsidR="006C6F4F" w:rsidRDefault="004C0E36">
            <w:pPr>
              <w:pStyle w:val="TableParagraph"/>
              <w:ind w:left="108"/>
              <w:rPr>
                <w:sz w:val="18"/>
              </w:rPr>
            </w:pPr>
            <w:r>
              <w:rPr>
                <w:sz w:val="18"/>
              </w:rPr>
              <w:t>Ayudas a la Federación Española de Municipios y Provincias (FEMP).</w:t>
            </w:r>
          </w:p>
        </w:tc>
        <w:tc>
          <w:tcPr>
            <w:tcW w:w="1531" w:type="dxa"/>
          </w:tcPr>
          <w:p w:rsidR="006C6F4F" w:rsidRDefault="006C6F4F">
            <w:pPr>
              <w:pStyle w:val="TableParagraph"/>
              <w:spacing w:before="4"/>
              <w:rPr>
                <w:rFonts w:ascii="Arial Narrow"/>
                <w:sz w:val="19"/>
              </w:rPr>
            </w:pPr>
          </w:p>
          <w:p w:rsidR="006C6F4F" w:rsidRDefault="004C0E36">
            <w:pPr>
              <w:pStyle w:val="TableParagraph"/>
              <w:ind w:right="100"/>
              <w:jc w:val="right"/>
              <w:rPr>
                <w:sz w:val="20"/>
              </w:rPr>
            </w:pPr>
            <w:r>
              <w:rPr>
                <w:w w:val="95"/>
                <w:sz w:val="20"/>
              </w:rPr>
              <w:t>3.000</w:t>
            </w:r>
          </w:p>
        </w:tc>
      </w:tr>
      <w:tr w:rsidR="006C6F4F">
        <w:trPr>
          <w:trHeight w:val="678"/>
        </w:trPr>
        <w:tc>
          <w:tcPr>
            <w:tcW w:w="1663" w:type="dxa"/>
          </w:tcPr>
          <w:p w:rsidR="006C6F4F" w:rsidRDefault="004C0E36">
            <w:pPr>
              <w:pStyle w:val="TableParagraph"/>
              <w:spacing w:before="95"/>
              <w:ind w:left="107"/>
              <w:rPr>
                <w:rFonts w:ascii="Calibri"/>
                <w:b/>
                <w:sz w:val="20"/>
              </w:rPr>
            </w:pPr>
            <w:r>
              <w:rPr>
                <w:rFonts w:ascii="Calibri"/>
                <w:b/>
                <w:sz w:val="20"/>
              </w:rPr>
              <w:t>26.18.231A.481</w:t>
            </w:r>
          </w:p>
          <w:p w:rsidR="006C6F4F" w:rsidRDefault="004C0E36">
            <w:pPr>
              <w:pStyle w:val="TableParagraph"/>
              <w:ind w:left="107"/>
              <w:rPr>
                <w:rFonts w:ascii="Calibri"/>
                <w:b/>
                <w:sz w:val="20"/>
              </w:rPr>
            </w:pPr>
            <w:r>
              <w:rPr>
                <w:rFonts w:ascii="Calibri"/>
                <w:b/>
                <w:sz w:val="20"/>
              </w:rPr>
              <w:t>26.18.231A.482</w:t>
            </w:r>
          </w:p>
        </w:tc>
        <w:tc>
          <w:tcPr>
            <w:tcW w:w="458" w:type="dxa"/>
          </w:tcPr>
          <w:p w:rsidR="006C6F4F" w:rsidRDefault="006C6F4F">
            <w:pPr>
              <w:pStyle w:val="TableParagraph"/>
              <w:spacing w:before="2"/>
              <w:rPr>
                <w:rFonts w:ascii="Arial Narrow"/>
                <w:sz w:val="20"/>
              </w:rPr>
            </w:pPr>
          </w:p>
          <w:p w:rsidR="006C6F4F" w:rsidRDefault="004C0E36">
            <w:pPr>
              <w:pStyle w:val="TableParagraph"/>
              <w:ind w:left="7"/>
              <w:jc w:val="center"/>
              <w:rPr>
                <w:b/>
                <w:sz w:val="18"/>
              </w:rPr>
            </w:pPr>
            <w:r>
              <w:rPr>
                <w:b/>
                <w:w w:val="99"/>
                <w:sz w:val="18"/>
              </w:rPr>
              <w:t>2</w:t>
            </w:r>
          </w:p>
        </w:tc>
        <w:tc>
          <w:tcPr>
            <w:tcW w:w="5956" w:type="dxa"/>
          </w:tcPr>
          <w:p w:rsidR="006C6F4F" w:rsidRDefault="006C6F4F">
            <w:pPr>
              <w:pStyle w:val="TableParagraph"/>
              <w:spacing w:before="7"/>
              <w:rPr>
                <w:rFonts w:ascii="Arial Narrow"/>
                <w:sz w:val="20"/>
              </w:rPr>
            </w:pPr>
          </w:p>
          <w:p w:rsidR="006C6F4F" w:rsidRDefault="004C0E36">
            <w:pPr>
              <w:pStyle w:val="TableParagraph"/>
              <w:ind w:left="108"/>
              <w:rPr>
                <w:sz w:val="18"/>
              </w:rPr>
            </w:pPr>
            <w:r>
              <w:rPr>
                <w:sz w:val="18"/>
              </w:rPr>
              <w:t>Ayudas a Organizaciones No Gubernamentales (</w:t>
            </w:r>
            <w:proofErr w:type="spellStart"/>
            <w:r>
              <w:rPr>
                <w:sz w:val="18"/>
              </w:rPr>
              <w:t>ONGs</w:t>
            </w:r>
            <w:proofErr w:type="spellEnd"/>
            <w:r>
              <w:rPr>
                <w:sz w:val="18"/>
              </w:rPr>
              <w:t>). *</w:t>
            </w:r>
          </w:p>
        </w:tc>
        <w:tc>
          <w:tcPr>
            <w:tcW w:w="1531" w:type="dxa"/>
          </w:tcPr>
          <w:p w:rsidR="006C6F4F" w:rsidRDefault="004C0E36">
            <w:pPr>
              <w:pStyle w:val="TableParagraph"/>
              <w:spacing w:before="107"/>
              <w:ind w:right="100"/>
              <w:jc w:val="right"/>
              <w:rPr>
                <w:sz w:val="20"/>
              </w:rPr>
            </w:pPr>
            <w:r>
              <w:rPr>
                <w:spacing w:val="-1"/>
                <w:sz w:val="20"/>
              </w:rPr>
              <w:t>996.490</w:t>
            </w:r>
          </w:p>
          <w:p w:rsidR="006C6F4F" w:rsidRDefault="004C0E36">
            <w:pPr>
              <w:pStyle w:val="TableParagraph"/>
              <w:spacing w:before="1"/>
              <w:ind w:right="100"/>
              <w:jc w:val="right"/>
              <w:rPr>
                <w:sz w:val="20"/>
              </w:rPr>
            </w:pPr>
            <w:r>
              <w:rPr>
                <w:w w:val="95"/>
                <w:sz w:val="20"/>
              </w:rPr>
              <w:t>3.000</w:t>
            </w:r>
          </w:p>
        </w:tc>
      </w:tr>
      <w:tr w:rsidR="006C6F4F">
        <w:trPr>
          <w:trHeight w:val="962"/>
        </w:trPr>
        <w:tc>
          <w:tcPr>
            <w:tcW w:w="1663" w:type="dxa"/>
          </w:tcPr>
          <w:p w:rsidR="006C6F4F" w:rsidRDefault="006C6F4F">
            <w:pPr>
              <w:pStyle w:val="TableParagraph"/>
              <w:rPr>
                <w:rFonts w:ascii="Arial Narrow"/>
                <w:sz w:val="20"/>
              </w:rPr>
            </w:pPr>
          </w:p>
          <w:p w:rsidR="006C6F4F" w:rsidRDefault="004C0E36">
            <w:pPr>
              <w:pStyle w:val="TableParagraph"/>
              <w:spacing w:before="130"/>
              <w:ind w:left="107"/>
              <w:rPr>
                <w:rFonts w:ascii="Calibri"/>
                <w:b/>
                <w:sz w:val="20"/>
              </w:rPr>
            </w:pPr>
            <w:r>
              <w:rPr>
                <w:rFonts w:ascii="Calibri"/>
                <w:b/>
                <w:sz w:val="20"/>
              </w:rPr>
              <w:t>26.18.231A.492</w:t>
            </w:r>
          </w:p>
        </w:tc>
        <w:tc>
          <w:tcPr>
            <w:tcW w:w="458" w:type="dxa"/>
          </w:tcPr>
          <w:p w:rsidR="006C6F4F" w:rsidRDefault="006C6F4F">
            <w:pPr>
              <w:pStyle w:val="TableParagraph"/>
              <w:rPr>
                <w:rFonts w:ascii="Arial Narrow"/>
                <w:sz w:val="20"/>
              </w:rPr>
            </w:pPr>
          </w:p>
          <w:p w:rsidR="006C6F4F" w:rsidRDefault="004C0E36">
            <w:pPr>
              <w:pStyle w:val="TableParagraph"/>
              <w:spacing w:before="144"/>
              <w:ind w:left="7"/>
              <w:jc w:val="center"/>
              <w:rPr>
                <w:b/>
                <w:sz w:val="18"/>
              </w:rPr>
            </w:pPr>
            <w:r>
              <w:rPr>
                <w:b/>
                <w:w w:val="99"/>
                <w:sz w:val="18"/>
              </w:rPr>
              <w:t>3</w:t>
            </w:r>
          </w:p>
        </w:tc>
        <w:tc>
          <w:tcPr>
            <w:tcW w:w="5956" w:type="dxa"/>
          </w:tcPr>
          <w:p w:rsidR="006C6F4F" w:rsidRDefault="004C0E36">
            <w:pPr>
              <w:pStyle w:val="TableParagraph"/>
              <w:spacing w:before="170"/>
              <w:ind w:left="108" w:right="144"/>
              <w:rPr>
                <w:sz w:val="18"/>
              </w:rPr>
            </w:pPr>
            <w:r>
              <w:rPr>
                <w:sz w:val="18"/>
              </w:rPr>
              <w:t>Ayudas a Organismos Internacionales en aplicación de la Ley 17/2003, de 29 de mayo, por la que se regula el Fondo de bienes decomisados por tráfico ilícito de drogas y otros delitos relacionados.</w:t>
            </w:r>
          </w:p>
        </w:tc>
        <w:tc>
          <w:tcPr>
            <w:tcW w:w="1531" w:type="dxa"/>
          </w:tcPr>
          <w:p w:rsidR="006C6F4F" w:rsidRDefault="006C6F4F">
            <w:pPr>
              <w:pStyle w:val="TableParagraph"/>
              <w:spacing w:before="9"/>
              <w:rPr>
                <w:rFonts w:ascii="Arial Narrow"/>
                <w:sz w:val="31"/>
              </w:rPr>
            </w:pPr>
          </w:p>
          <w:p w:rsidR="006C6F4F" w:rsidRDefault="004C0E36">
            <w:pPr>
              <w:pStyle w:val="TableParagraph"/>
              <w:ind w:right="100"/>
              <w:jc w:val="right"/>
              <w:rPr>
                <w:sz w:val="20"/>
              </w:rPr>
            </w:pPr>
            <w:r>
              <w:rPr>
                <w:w w:val="95"/>
                <w:sz w:val="20"/>
              </w:rPr>
              <w:t>3.000</w:t>
            </w:r>
          </w:p>
        </w:tc>
      </w:tr>
      <w:tr w:rsidR="006C6F4F">
        <w:trPr>
          <w:trHeight w:val="681"/>
        </w:trPr>
        <w:tc>
          <w:tcPr>
            <w:tcW w:w="1663" w:type="dxa"/>
          </w:tcPr>
          <w:p w:rsidR="006C6F4F" w:rsidRDefault="006C6F4F">
            <w:pPr>
              <w:pStyle w:val="TableParagraph"/>
              <w:spacing w:before="10"/>
              <w:rPr>
                <w:rFonts w:ascii="Arial Narrow"/>
                <w:sz w:val="18"/>
              </w:rPr>
            </w:pPr>
          </w:p>
          <w:p w:rsidR="006C6F4F" w:rsidRDefault="004C0E36">
            <w:pPr>
              <w:pStyle w:val="TableParagraph"/>
              <w:spacing w:before="1"/>
              <w:ind w:left="107"/>
              <w:rPr>
                <w:rFonts w:ascii="Calibri"/>
                <w:b/>
                <w:sz w:val="20"/>
              </w:rPr>
            </w:pPr>
            <w:r>
              <w:rPr>
                <w:rFonts w:ascii="Calibri"/>
                <w:b/>
                <w:sz w:val="20"/>
              </w:rPr>
              <w:t>26.18.231A.781</w:t>
            </w:r>
          </w:p>
        </w:tc>
        <w:tc>
          <w:tcPr>
            <w:tcW w:w="458" w:type="dxa"/>
          </w:tcPr>
          <w:p w:rsidR="006C6F4F" w:rsidRDefault="006C6F4F">
            <w:pPr>
              <w:pStyle w:val="TableParagraph"/>
              <w:spacing w:before="2"/>
              <w:rPr>
                <w:rFonts w:ascii="Arial Narrow"/>
                <w:sz w:val="20"/>
              </w:rPr>
            </w:pPr>
          </w:p>
          <w:p w:rsidR="006C6F4F" w:rsidRDefault="004C0E36">
            <w:pPr>
              <w:pStyle w:val="TableParagraph"/>
              <w:ind w:left="7"/>
              <w:jc w:val="center"/>
              <w:rPr>
                <w:b/>
                <w:sz w:val="18"/>
              </w:rPr>
            </w:pPr>
            <w:r>
              <w:rPr>
                <w:b/>
                <w:w w:val="99"/>
                <w:sz w:val="18"/>
              </w:rPr>
              <w:t>4</w:t>
            </w:r>
          </w:p>
        </w:tc>
        <w:tc>
          <w:tcPr>
            <w:tcW w:w="5956" w:type="dxa"/>
          </w:tcPr>
          <w:p w:rsidR="006C6F4F" w:rsidRDefault="006C6F4F">
            <w:pPr>
              <w:pStyle w:val="TableParagraph"/>
              <w:spacing w:before="7"/>
              <w:rPr>
                <w:rFonts w:ascii="Arial Narrow"/>
                <w:sz w:val="20"/>
              </w:rPr>
            </w:pPr>
          </w:p>
          <w:p w:rsidR="006C6F4F" w:rsidRDefault="004C0E36">
            <w:pPr>
              <w:pStyle w:val="TableParagraph"/>
              <w:ind w:left="108"/>
              <w:rPr>
                <w:sz w:val="18"/>
              </w:rPr>
            </w:pPr>
            <w:r>
              <w:rPr>
                <w:sz w:val="18"/>
              </w:rPr>
              <w:t>Ayudas a proyectos de investigación.</w:t>
            </w:r>
          </w:p>
        </w:tc>
        <w:tc>
          <w:tcPr>
            <w:tcW w:w="1531" w:type="dxa"/>
          </w:tcPr>
          <w:p w:rsidR="006C6F4F" w:rsidRDefault="006C6F4F">
            <w:pPr>
              <w:pStyle w:val="TableParagraph"/>
              <w:spacing w:before="4"/>
              <w:rPr>
                <w:rFonts w:ascii="Arial Narrow"/>
                <w:sz w:val="19"/>
              </w:rPr>
            </w:pPr>
          </w:p>
          <w:p w:rsidR="006C6F4F" w:rsidRDefault="004C0E36">
            <w:pPr>
              <w:pStyle w:val="TableParagraph"/>
              <w:ind w:right="100"/>
              <w:jc w:val="right"/>
              <w:rPr>
                <w:sz w:val="20"/>
              </w:rPr>
            </w:pPr>
            <w:r>
              <w:rPr>
                <w:sz w:val="20"/>
              </w:rPr>
              <w:t>609.790</w:t>
            </w:r>
          </w:p>
        </w:tc>
      </w:tr>
      <w:tr w:rsidR="006C6F4F">
        <w:trPr>
          <w:trHeight w:val="678"/>
        </w:trPr>
        <w:tc>
          <w:tcPr>
            <w:tcW w:w="1663" w:type="dxa"/>
          </w:tcPr>
          <w:p w:rsidR="006C6F4F" w:rsidRDefault="006C6F4F">
            <w:pPr>
              <w:pStyle w:val="TableParagraph"/>
              <w:spacing w:before="10"/>
              <w:rPr>
                <w:rFonts w:ascii="Arial Narrow"/>
                <w:sz w:val="18"/>
              </w:rPr>
            </w:pPr>
          </w:p>
          <w:p w:rsidR="006C6F4F" w:rsidRDefault="004C0E36">
            <w:pPr>
              <w:pStyle w:val="TableParagraph"/>
              <w:spacing w:before="1"/>
              <w:ind w:left="107"/>
              <w:rPr>
                <w:rFonts w:ascii="Calibri"/>
                <w:b/>
                <w:sz w:val="20"/>
              </w:rPr>
            </w:pPr>
            <w:r>
              <w:rPr>
                <w:rFonts w:ascii="Calibri"/>
                <w:b/>
                <w:sz w:val="20"/>
              </w:rPr>
              <w:t>26.18.231A.458</w:t>
            </w:r>
          </w:p>
        </w:tc>
        <w:tc>
          <w:tcPr>
            <w:tcW w:w="458" w:type="dxa"/>
          </w:tcPr>
          <w:p w:rsidR="006C6F4F" w:rsidRDefault="006C6F4F">
            <w:pPr>
              <w:pStyle w:val="TableParagraph"/>
              <w:spacing w:before="11"/>
              <w:rPr>
                <w:rFonts w:ascii="Arial Narrow"/>
                <w:sz w:val="19"/>
              </w:rPr>
            </w:pPr>
          </w:p>
          <w:p w:rsidR="006C6F4F" w:rsidRDefault="004C0E36">
            <w:pPr>
              <w:pStyle w:val="TableParagraph"/>
              <w:ind w:left="7"/>
              <w:jc w:val="center"/>
              <w:rPr>
                <w:b/>
                <w:sz w:val="18"/>
              </w:rPr>
            </w:pPr>
            <w:r>
              <w:rPr>
                <w:b/>
                <w:w w:val="99"/>
                <w:sz w:val="18"/>
              </w:rPr>
              <w:t>5</w:t>
            </w:r>
          </w:p>
        </w:tc>
        <w:tc>
          <w:tcPr>
            <w:tcW w:w="5956" w:type="dxa"/>
          </w:tcPr>
          <w:p w:rsidR="006C6F4F" w:rsidRDefault="006C6F4F">
            <w:pPr>
              <w:pStyle w:val="TableParagraph"/>
              <w:spacing w:before="4"/>
              <w:rPr>
                <w:rFonts w:ascii="Arial Narrow"/>
                <w:sz w:val="20"/>
              </w:rPr>
            </w:pPr>
          </w:p>
          <w:p w:rsidR="006C6F4F" w:rsidRDefault="004C0E36">
            <w:pPr>
              <w:pStyle w:val="TableParagraph"/>
              <w:ind w:left="108"/>
              <w:rPr>
                <w:sz w:val="18"/>
              </w:rPr>
            </w:pPr>
            <w:r>
              <w:rPr>
                <w:sz w:val="18"/>
              </w:rPr>
              <w:t>Ayudas a Comunidades y Ciudades Autónomas</w:t>
            </w:r>
          </w:p>
        </w:tc>
        <w:tc>
          <w:tcPr>
            <w:tcW w:w="1531" w:type="dxa"/>
          </w:tcPr>
          <w:p w:rsidR="006C6F4F" w:rsidRDefault="006C6F4F">
            <w:pPr>
              <w:pStyle w:val="TableParagraph"/>
              <w:spacing w:before="2"/>
              <w:rPr>
                <w:rFonts w:ascii="Arial Narrow"/>
                <w:sz w:val="19"/>
              </w:rPr>
            </w:pPr>
          </w:p>
          <w:p w:rsidR="006C6F4F" w:rsidRDefault="004C0E36">
            <w:pPr>
              <w:pStyle w:val="TableParagraph"/>
              <w:ind w:right="100"/>
              <w:jc w:val="right"/>
              <w:rPr>
                <w:sz w:val="20"/>
              </w:rPr>
            </w:pPr>
            <w:r>
              <w:rPr>
                <w:w w:val="95"/>
                <w:sz w:val="20"/>
              </w:rPr>
              <w:t>3.000</w:t>
            </w:r>
          </w:p>
        </w:tc>
      </w:tr>
      <w:tr w:rsidR="006C6F4F">
        <w:trPr>
          <w:trHeight w:val="681"/>
        </w:trPr>
        <w:tc>
          <w:tcPr>
            <w:tcW w:w="1663" w:type="dxa"/>
          </w:tcPr>
          <w:p w:rsidR="006C6F4F" w:rsidRDefault="006C6F4F">
            <w:pPr>
              <w:pStyle w:val="TableParagraph"/>
              <w:spacing w:before="10"/>
              <w:rPr>
                <w:rFonts w:ascii="Arial Narrow"/>
                <w:sz w:val="18"/>
              </w:rPr>
            </w:pPr>
          </w:p>
          <w:p w:rsidR="006C6F4F" w:rsidRDefault="004C0E36">
            <w:pPr>
              <w:pStyle w:val="TableParagraph"/>
              <w:spacing w:before="1"/>
              <w:ind w:left="107"/>
              <w:rPr>
                <w:rFonts w:ascii="Calibri"/>
                <w:b/>
                <w:sz w:val="20"/>
              </w:rPr>
            </w:pPr>
            <w:r>
              <w:rPr>
                <w:rFonts w:ascii="Calibri"/>
                <w:b/>
                <w:sz w:val="20"/>
              </w:rPr>
              <w:t>26.18.231A.462</w:t>
            </w:r>
          </w:p>
        </w:tc>
        <w:tc>
          <w:tcPr>
            <w:tcW w:w="458" w:type="dxa"/>
          </w:tcPr>
          <w:p w:rsidR="006C6F4F" w:rsidRDefault="006C6F4F">
            <w:pPr>
              <w:pStyle w:val="TableParagraph"/>
              <w:spacing w:before="2"/>
              <w:rPr>
                <w:rFonts w:ascii="Arial Narrow"/>
                <w:sz w:val="20"/>
              </w:rPr>
            </w:pPr>
          </w:p>
          <w:p w:rsidR="006C6F4F" w:rsidRDefault="004C0E36">
            <w:pPr>
              <w:pStyle w:val="TableParagraph"/>
              <w:ind w:left="7"/>
              <w:jc w:val="center"/>
              <w:rPr>
                <w:b/>
                <w:sz w:val="18"/>
              </w:rPr>
            </w:pPr>
            <w:r>
              <w:rPr>
                <w:b/>
                <w:w w:val="99"/>
                <w:sz w:val="18"/>
              </w:rPr>
              <w:t>6</w:t>
            </w:r>
          </w:p>
        </w:tc>
        <w:tc>
          <w:tcPr>
            <w:tcW w:w="5956" w:type="dxa"/>
          </w:tcPr>
          <w:p w:rsidR="006C6F4F" w:rsidRDefault="006C6F4F">
            <w:pPr>
              <w:pStyle w:val="TableParagraph"/>
              <w:spacing w:before="7"/>
              <w:rPr>
                <w:rFonts w:ascii="Arial Narrow"/>
                <w:sz w:val="20"/>
              </w:rPr>
            </w:pPr>
          </w:p>
          <w:p w:rsidR="006C6F4F" w:rsidRDefault="004C0E36">
            <w:pPr>
              <w:pStyle w:val="TableParagraph"/>
              <w:ind w:left="108"/>
              <w:rPr>
                <w:sz w:val="18"/>
              </w:rPr>
            </w:pPr>
            <w:r>
              <w:rPr>
                <w:sz w:val="18"/>
              </w:rPr>
              <w:t>Ayudas a las Corporaciones Locales en aplicación de la Ley 17/2003.</w:t>
            </w:r>
          </w:p>
        </w:tc>
        <w:tc>
          <w:tcPr>
            <w:tcW w:w="1531" w:type="dxa"/>
          </w:tcPr>
          <w:p w:rsidR="006C6F4F" w:rsidRDefault="006C6F4F">
            <w:pPr>
              <w:pStyle w:val="TableParagraph"/>
              <w:spacing w:before="4"/>
              <w:rPr>
                <w:rFonts w:ascii="Arial Narrow"/>
                <w:sz w:val="19"/>
              </w:rPr>
            </w:pPr>
          </w:p>
          <w:p w:rsidR="006C6F4F" w:rsidRDefault="004C0E36">
            <w:pPr>
              <w:pStyle w:val="TableParagraph"/>
              <w:ind w:right="100"/>
              <w:jc w:val="right"/>
              <w:rPr>
                <w:sz w:val="20"/>
              </w:rPr>
            </w:pPr>
            <w:r>
              <w:rPr>
                <w:w w:val="95"/>
                <w:sz w:val="20"/>
              </w:rPr>
              <w:t>3.000</w:t>
            </w:r>
          </w:p>
        </w:tc>
      </w:tr>
      <w:tr w:rsidR="006C6F4F">
        <w:trPr>
          <w:trHeight w:val="1200"/>
        </w:trPr>
        <w:tc>
          <w:tcPr>
            <w:tcW w:w="1663" w:type="dxa"/>
          </w:tcPr>
          <w:p w:rsidR="006C6F4F" w:rsidRDefault="004C0E36">
            <w:pPr>
              <w:pStyle w:val="TableParagraph"/>
              <w:spacing w:before="54"/>
              <w:ind w:left="177"/>
              <w:rPr>
                <w:rFonts w:ascii="Calibri"/>
                <w:b/>
                <w:sz w:val="20"/>
              </w:rPr>
            </w:pPr>
            <w:r>
              <w:rPr>
                <w:rFonts w:ascii="Calibri"/>
                <w:b/>
                <w:sz w:val="20"/>
              </w:rPr>
              <w:t>26.18.231A.451</w:t>
            </w:r>
          </w:p>
          <w:p w:rsidR="006C6F4F" w:rsidRDefault="004C0E36">
            <w:pPr>
              <w:pStyle w:val="TableParagraph"/>
              <w:spacing w:before="56"/>
              <w:ind w:left="177"/>
              <w:rPr>
                <w:rFonts w:ascii="Calibri"/>
                <w:b/>
                <w:sz w:val="20"/>
              </w:rPr>
            </w:pPr>
            <w:r>
              <w:rPr>
                <w:rFonts w:ascii="Calibri"/>
                <w:b/>
                <w:sz w:val="20"/>
              </w:rPr>
              <w:t>26.18.231A.452</w:t>
            </w:r>
          </w:p>
          <w:p w:rsidR="006C6F4F" w:rsidRDefault="004C0E36">
            <w:pPr>
              <w:pStyle w:val="TableParagraph"/>
              <w:spacing w:before="56"/>
              <w:ind w:left="177"/>
              <w:rPr>
                <w:rFonts w:ascii="Calibri"/>
                <w:b/>
                <w:sz w:val="20"/>
              </w:rPr>
            </w:pPr>
            <w:r>
              <w:rPr>
                <w:rFonts w:ascii="Calibri"/>
                <w:b/>
                <w:sz w:val="20"/>
              </w:rPr>
              <w:t>26.18.231A.454</w:t>
            </w:r>
          </w:p>
          <w:p w:rsidR="006C6F4F" w:rsidRDefault="004C0E36">
            <w:pPr>
              <w:pStyle w:val="TableParagraph"/>
              <w:spacing w:before="56" w:line="225" w:lineRule="exact"/>
              <w:ind w:left="177"/>
              <w:rPr>
                <w:rFonts w:ascii="Calibri"/>
                <w:b/>
                <w:sz w:val="20"/>
              </w:rPr>
            </w:pPr>
            <w:r>
              <w:rPr>
                <w:rFonts w:ascii="Calibri"/>
                <w:b/>
                <w:sz w:val="20"/>
              </w:rPr>
              <w:t>26.18.231A.456</w:t>
            </w:r>
          </w:p>
        </w:tc>
        <w:tc>
          <w:tcPr>
            <w:tcW w:w="458" w:type="dxa"/>
          </w:tcPr>
          <w:p w:rsidR="006C6F4F" w:rsidRDefault="006C6F4F">
            <w:pPr>
              <w:pStyle w:val="TableParagraph"/>
              <w:rPr>
                <w:rFonts w:ascii="Arial Narrow"/>
                <w:sz w:val="20"/>
              </w:rPr>
            </w:pPr>
          </w:p>
          <w:p w:rsidR="006C6F4F" w:rsidRDefault="006C6F4F">
            <w:pPr>
              <w:pStyle w:val="TableParagraph"/>
              <w:spacing w:before="9"/>
              <w:rPr>
                <w:rFonts w:ascii="Arial Narrow"/>
              </w:rPr>
            </w:pPr>
          </w:p>
          <w:p w:rsidR="006C6F4F" w:rsidRDefault="004C0E36">
            <w:pPr>
              <w:pStyle w:val="TableParagraph"/>
              <w:ind w:left="7"/>
              <w:jc w:val="center"/>
              <w:rPr>
                <w:b/>
                <w:sz w:val="18"/>
              </w:rPr>
            </w:pPr>
            <w:r>
              <w:rPr>
                <w:b/>
                <w:w w:val="99"/>
                <w:sz w:val="18"/>
              </w:rPr>
              <w:t>7</w:t>
            </w:r>
          </w:p>
        </w:tc>
        <w:tc>
          <w:tcPr>
            <w:tcW w:w="5956" w:type="dxa"/>
          </w:tcPr>
          <w:p w:rsidR="006C6F4F" w:rsidRDefault="006C6F4F">
            <w:pPr>
              <w:pStyle w:val="TableParagraph"/>
              <w:rPr>
                <w:rFonts w:ascii="Arial Narrow"/>
                <w:sz w:val="20"/>
              </w:rPr>
            </w:pPr>
          </w:p>
          <w:p w:rsidR="006C6F4F" w:rsidRDefault="004C0E36">
            <w:pPr>
              <w:pStyle w:val="TableParagraph"/>
              <w:spacing w:before="161"/>
              <w:ind w:left="108" w:right="384"/>
              <w:rPr>
                <w:sz w:val="18"/>
              </w:rPr>
            </w:pPr>
            <w:r>
              <w:rPr>
                <w:sz w:val="18"/>
              </w:rPr>
              <w:t>Ayudas a Comunidades y Ciudades Autónomas. (Exceptuada por el Centro Gestor en virtud de Art. 86 de la LGP.</w:t>
            </w:r>
          </w:p>
        </w:tc>
        <w:tc>
          <w:tcPr>
            <w:tcW w:w="1531" w:type="dxa"/>
          </w:tcPr>
          <w:p w:rsidR="006C6F4F" w:rsidRDefault="006C6F4F">
            <w:pPr>
              <w:pStyle w:val="TableParagraph"/>
              <w:rPr>
                <w:rFonts w:ascii="Arial Narrow"/>
                <w:sz w:val="16"/>
              </w:rPr>
            </w:pPr>
          </w:p>
          <w:p w:rsidR="006C6F4F" w:rsidRDefault="004C0E36">
            <w:pPr>
              <w:pStyle w:val="TableParagraph"/>
              <w:ind w:left="619"/>
              <w:rPr>
                <w:sz w:val="18"/>
              </w:rPr>
            </w:pPr>
            <w:r>
              <w:rPr>
                <w:sz w:val="18"/>
              </w:rPr>
              <w:t>3.270.160</w:t>
            </w:r>
          </w:p>
          <w:p w:rsidR="006C6F4F" w:rsidRDefault="004C0E36">
            <w:pPr>
              <w:pStyle w:val="TableParagraph"/>
              <w:ind w:left="619"/>
              <w:rPr>
                <w:sz w:val="18"/>
              </w:rPr>
            </w:pPr>
            <w:r>
              <w:rPr>
                <w:sz w:val="18"/>
              </w:rPr>
              <w:t>3.962.630</w:t>
            </w:r>
          </w:p>
          <w:p w:rsidR="006C6F4F" w:rsidRDefault="004C0E36">
            <w:pPr>
              <w:pStyle w:val="TableParagraph"/>
              <w:spacing w:before="2" w:line="207" w:lineRule="exact"/>
              <w:ind w:left="619"/>
              <w:rPr>
                <w:sz w:val="18"/>
              </w:rPr>
            </w:pPr>
            <w:r>
              <w:rPr>
                <w:sz w:val="18"/>
              </w:rPr>
              <w:t>1.033.290</w:t>
            </w:r>
          </w:p>
          <w:p w:rsidR="006C6F4F" w:rsidRDefault="004C0E36">
            <w:pPr>
              <w:pStyle w:val="TableParagraph"/>
              <w:spacing w:line="207" w:lineRule="exact"/>
              <w:ind w:left="619"/>
              <w:rPr>
                <w:sz w:val="18"/>
              </w:rPr>
            </w:pPr>
            <w:r>
              <w:rPr>
                <w:sz w:val="18"/>
              </w:rPr>
              <w:t>1.253.320</w:t>
            </w:r>
          </w:p>
        </w:tc>
      </w:tr>
      <w:tr w:rsidR="006C6F4F">
        <w:trPr>
          <w:trHeight w:val="395"/>
        </w:trPr>
        <w:tc>
          <w:tcPr>
            <w:tcW w:w="2121" w:type="dxa"/>
            <w:gridSpan w:val="2"/>
            <w:tcBorders>
              <w:left w:val="nil"/>
              <w:bottom w:val="nil"/>
            </w:tcBorders>
          </w:tcPr>
          <w:p w:rsidR="006C6F4F" w:rsidRDefault="006C6F4F">
            <w:pPr>
              <w:pStyle w:val="TableParagraph"/>
              <w:rPr>
                <w:rFonts w:ascii="Times New Roman"/>
                <w:sz w:val="18"/>
              </w:rPr>
            </w:pPr>
          </w:p>
        </w:tc>
        <w:tc>
          <w:tcPr>
            <w:tcW w:w="5956" w:type="dxa"/>
            <w:shd w:val="clear" w:color="auto" w:fill="B8CCE3"/>
          </w:tcPr>
          <w:p w:rsidR="006C6F4F" w:rsidRDefault="004C0E36">
            <w:pPr>
              <w:pStyle w:val="TableParagraph"/>
              <w:spacing w:before="87"/>
              <w:ind w:left="3085"/>
              <w:rPr>
                <w:b/>
                <w:sz w:val="18"/>
              </w:rPr>
            </w:pPr>
            <w:r>
              <w:rPr>
                <w:b/>
                <w:sz w:val="18"/>
              </w:rPr>
              <w:t>TOTAL………………………………</w:t>
            </w:r>
          </w:p>
        </w:tc>
        <w:tc>
          <w:tcPr>
            <w:tcW w:w="1531" w:type="dxa"/>
            <w:shd w:val="clear" w:color="auto" w:fill="B8CCE3"/>
          </w:tcPr>
          <w:p w:rsidR="006C6F4F" w:rsidRDefault="004C0E36">
            <w:pPr>
              <w:pStyle w:val="TableParagraph"/>
              <w:spacing w:before="87"/>
              <w:ind w:right="96"/>
              <w:jc w:val="right"/>
              <w:rPr>
                <w:b/>
                <w:sz w:val="18"/>
              </w:rPr>
            </w:pPr>
            <w:r>
              <w:rPr>
                <w:b/>
                <w:sz w:val="18"/>
              </w:rPr>
              <w:t>10.138.190</w:t>
            </w:r>
          </w:p>
        </w:tc>
      </w:tr>
    </w:tbl>
    <w:p w:rsidR="006C6F4F" w:rsidRDefault="006C6F4F">
      <w:pPr>
        <w:jc w:val="right"/>
        <w:rPr>
          <w:sz w:val="18"/>
        </w:rPr>
        <w:sectPr w:rsidR="006C6F4F">
          <w:pgSz w:w="11910" w:h="16840"/>
          <w:pgMar w:top="1480" w:right="580" w:bottom="920" w:left="1480" w:header="295" w:footer="734" w:gutter="0"/>
          <w:cols w:space="720"/>
        </w:sect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spacing w:before="4"/>
        <w:rPr>
          <w:sz w:val="2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425"/>
        <w:gridCol w:w="5673"/>
        <w:gridCol w:w="1815"/>
      </w:tblGrid>
      <w:tr w:rsidR="006C6F4F">
        <w:trPr>
          <w:trHeight w:val="738"/>
        </w:trPr>
        <w:tc>
          <w:tcPr>
            <w:tcW w:w="9610" w:type="dxa"/>
            <w:gridSpan w:val="4"/>
            <w:shd w:val="clear" w:color="auto" w:fill="B8CCE3"/>
          </w:tcPr>
          <w:p w:rsidR="006C6F4F" w:rsidRDefault="006C6F4F">
            <w:pPr>
              <w:pStyle w:val="TableParagraph"/>
              <w:spacing w:before="2"/>
              <w:rPr>
                <w:rFonts w:ascii="Arial Narrow"/>
                <w:sz w:val="20"/>
              </w:rPr>
            </w:pPr>
          </w:p>
          <w:p w:rsidR="006C6F4F" w:rsidRDefault="004C0E36">
            <w:pPr>
              <w:pStyle w:val="TableParagraph"/>
              <w:ind w:left="1221" w:right="1215"/>
              <w:jc w:val="center"/>
              <w:rPr>
                <w:rFonts w:ascii="Calibri" w:hAnsi="Calibri"/>
                <w:b/>
              </w:rPr>
            </w:pPr>
            <w:r>
              <w:rPr>
                <w:rFonts w:ascii="Calibri" w:hAnsi="Calibri"/>
                <w:b/>
              </w:rPr>
              <w:t>INSTITUTO NACIONAL DE GESTIÓN SANITARIA</w:t>
            </w:r>
          </w:p>
        </w:tc>
      </w:tr>
      <w:tr w:rsidR="006C6F4F">
        <w:trPr>
          <w:trHeight w:val="1077"/>
        </w:trPr>
        <w:tc>
          <w:tcPr>
            <w:tcW w:w="1697" w:type="dxa"/>
          </w:tcPr>
          <w:p w:rsidR="006C6F4F" w:rsidRDefault="006C6F4F">
            <w:pPr>
              <w:pStyle w:val="TableParagraph"/>
              <w:rPr>
                <w:rFonts w:ascii="Arial Narrow"/>
                <w:sz w:val="20"/>
              </w:rPr>
            </w:pPr>
          </w:p>
          <w:p w:rsidR="006C6F4F" w:rsidRDefault="006C6F4F">
            <w:pPr>
              <w:pStyle w:val="TableParagraph"/>
              <w:spacing w:before="4"/>
              <w:rPr>
                <w:rFonts w:ascii="Arial Narrow"/>
                <w:sz w:val="17"/>
              </w:rPr>
            </w:pPr>
          </w:p>
          <w:p w:rsidR="006C6F4F" w:rsidRDefault="004C0E36">
            <w:pPr>
              <w:pStyle w:val="TableParagraph"/>
              <w:ind w:left="107"/>
              <w:rPr>
                <w:b/>
                <w:sz w:val="18"/>
              </w:rPr>
            </w:pPr>
            <w:r>
              <w:rPr>
                <w:b/>
                <w:sz w:val="18"/>
              </w:rPr>
              <w:t>902.2223.487.75</w:t>
            </w:r>
          </w:p>
        </w:tc>
        <w:tc>
          <w:tcPr>
            <w:tcW w:w="425" w:type="dxa"/>
          </w:tcPr>
          <w:p w:rsidR="006C6F4F" w:rsidRDefault="006C6F4F">
            <w:pPr>
              <w:pStyle w:val="TableParagraph"/>
              <w:rPr>
                <w:rFonts w:ascii="Arial Narrow"/>
                <w:sz w:val="20"/>
              </w:rPr>
            </w:pPr>
          </w:p>
          <w:p w:rsidR="006C6F4F" w:rsidRDefault="006C6F4F">
            <w:pPr>
              <w:pStyle w:val="TableParagraph"/>
              <w:spacing w:before="4"/>
              <w:rPr>
                <w:rFonts w:ascii="Arial Narrow"/>
                <w:sz w:val="17"/>
              </w:rPr>
            </w:pPr>
          </w:p>
          <w:p w:rsidR="006C6F4F" w:rsidRDefault="004C0E36">
            <w:pPr>
              <w:pStyle w:val="TableParagraph"/>
              <w:ind w:left="5"/>
              <w:jc w:val="center"/>
              <w:rPr>
                <w:b/>
                <w:sz w:val="18"/>
              </w:rPr>
            </w:pPr>
            <w:r>
              <w:rPr>
                <w:b/>
                <w:w w:val="99"/>
                <w:sz w:val="18"/>
              </w:rPr>
              <w:t>1</w:t>
            </w:r>
          </w:p>
        </w:tc>
        <w:tc>
          <w:tcPr>
            <w:tcW w:w="5673" w:type="dxa"/>
          </w:tcPr>
          <w:p w:rsidR="006C6F4F" w:rsidRDefault="006C6F4F">
            <w:pPr>
              <w:pStyle w:val="TableParagraph"/>
              <w:spacing w:before="8"/>
              <w:rPr>
                <w:rFonts w:ascii="Arial Narrow"/>
                <w:sz w:val="19"/>
              </w:rPr>
            </w:pPr>
          </w:p>
          <w:p w:rsidR="006C6F4F" w:rsidRDefault="004C0E36">
            <w:pPr>
              <w:pStyle w:val="TableParagraph"/>
              <w:spacing w:before="1"/>
              <w:ind w:left="107" w:right="82"/>
              <w:rPr>
                <w:sz w:val="18"/>
              </w:rPr>
            </w:pPr>
            <w:r>
              <w:rPr>
                <w:sz w:val="18"/>
              </w:rPr>
              <w:t>A la Hermandad de Donantes de Sangre de Melilla para cubrir las necesidades de sangre y hemoderivados en el centro de transfusión del área sanitaria de Melilla dependiente del INGESA.</w:t>
            </w:r>
          </w:p>
        </w:tc>
        <w:tc>
          <w:tcPr>
            <w:tcW w:w="1815" w:type="dxa"/>
          </w:tcPr>
          <w:p w:rsidR="006C6F4F" w:rsidRDefault="006C6F4F">
            <w:pPr>
              <w:pStyle w:val="TableParagraph"/>
              <w:rPr>
                <w:rFonts w:ascii="Arial Narrow"/>
                <w:sz w:val="20"/>
              </w:rPr>
            </w:pPr>
          </w:p>
          <w:p w:rsidR="006C6F4F" w:rsidRDefault="006C6F4F">
            <w:pPr>
              <w:pStyle w:val="TableParagraph"/>
              <w:spacing w:before="8"/>
              <w:rPr>
                <w:rFonts w:ascii="Arial Narrow"/>
                <w:sz w:val="17"/>
              </w:rPr>
            </w:pPr>
          </w:p>
          <w:p w:rsidR="006C6F4F" w:rsidRDefault="004C0E36">
            <w:pPr>
              <w:pStyle w:val="TableParagraph"/>
              <w:spacing w:before="1"/>
              <w:ind w:right="98"/>
              <w:jc w:val="right"/>
              <w:rPr>
                <w:sz w:val="18"/>
              </w:rPr>
            </w:pPr>
            <w:r>
              <w:rPr>
                <w:sz w:val="18"/>
              </w:rPr>
              <w:t>60.000</w:t>
            </w:r>
          </w:p>
        </w:tc>
      </w:tr>
      <w:tr w:rsidR="006C6F4F">
        <w:trPr>
          <w:trHeight w:val="1077"/>
        </w:trPr>
        <w:tc>
          <w:tcPr>
            <w:tcW w:w="1697" w:type="dxa"/>
          </w:tcPr>
          <w:p w:rsidR="006C6F4F" w:rsidRDefault="006C6F4F">
            <w:pPr>
              <w:pStyle w:val="TableParagraph"/>
              <w:rPr>
                <w:rFonts w:ascii="Arial Narrow"/>
                <w:sz w:val="20"/>
              </w:rPr>
            </w:pPr>
          </w:p>
          <w:p w:rsidR="006C6F4F" w:rsidRDefault="006C6F4F">
            <w:pPr>
              <w:pStyle w:val="TableParagraph"/>
              <w:spacing w:before="4"/>
              <w:rPr>
                <w:rFonts w:ascii="Arial Narrow"/>
                <w:sz w:val="17"/>
              </w:rPr>
            </w:pPr>
          </w:p>
          <w:p w:rsidR="006C6F4F" w:rsidRDefault="004C0E36">
            <w:pPr>
              <w:pStyle w:val="TableParagraph"/>
              <w:ind w:left="107"/>
              <w:rPr>
                <w:b/>
                <w:sz w:val="18"/>
              </w:rPr>
            </w:pPr>
            <w:r>
              <w:rPr>
                <w:b/>
                <w:sz w:val="18"/>
              </w:rPr>
              <w:t>902.2591.480.0</w:t>
            </w:r>
          </w:p>
        </w:tc>
        <w:tc>
          <w:tcPr>
            <w:tcW w:w="425" w:type="dxa"/>
          </w:tcPr>
          <w:p w:rsidR="006C6F4F" w:rsidRDefault="006C6F4F">
            <w:pPr>
              <w:pStyle w:val="TableParagraph"/>
              <w:rPr>
                <w:rFonts w:ascii="Arial Narrow"/>
                <w:sz w:val="20"/>
              </w:rPr>
            </w:pPr>
          </w:p>
          <w:p w:rsidR="006C6F4F" w:rsidRDefault="006C6F4F">
            <w:pPr>
              <w:pStyle w:val="TableParagraph"/>
              <w:spacing w:before="4"/>
              <w:rPr>
                <w:rFonts w:ascii="Arial Narrow"/>
                <w:sz w:val="17"/>
              </w:rPr>
            </w:pPr>
          </w:p>
          <w:p w:rsidR="006C6F4F" w:rsidRDefault="004C0E36">
            <w:pPr>
              <w:pStyle w:val="TableParagraph"/>
              <w:ind w:left="5"/>
              <w:jc w:val="center"/>
              <w:rPr>
                <w:b/>
                <w:sz w:val="18"/>
              </w:rPr>
            </w:pPr>
            <w:r>
              <w:rPr>
                <w:b/>
                <w:w w:val="99"/>
                <w:sz w:val="18"/>
              </w:rPr>
              <w:t>2</w:t>
            </w:r>
          </w:p>
        </w:tc>
        <w:tc>
          <w:tcPr>
            <w:tcW w:w="5673" w:type="dxa"/>
          </w:tcPr>
          <w:p w:rsidR="006C6F4F" w:rsidRDefault="006C6F4F">
            <w:pPr>
              <w:pStyle w:val="TableParagraph"/>
              <w:spacing w:before="8"/>
              <w:rPr>
                <w:rFonts w:ascii="Arial Narrow"/>
                <w:sz w:val="19"/>
              </w:rPr>
            </w:pPr>
          </w:p>
          <w:p w:rsidR="006C6F4F" w:rsidRDefault="004C0E36">
            <w:pPr>
              <w:pStyle w:val="TableParagraph"/>
              <w:spacing w:before="1"/>
              <w:ind w:left="107" w:right="223"/>
              <w:rPr>
                <w:sz w:val="18"/>
              </w:rPr>
            </w:pPr>
            <w:r>
              <w:rPr>
                <w:sz w:val="18"/>
              </w:rPr>
              <w:t>A organizaciones sindicales y empresariales en compensación por su participación en las Comisiones Ejecutivas de Entidades Gestoras.</w:t>
            </w:r>
          </w:p>
        </w:tc>
        <w:tc>
          <w:tcPr>
            <w:tcW w:w="1815" w:type="dxa"/>
          </w:tcPr>
          <w:p w:rsidR="006C6F4F" w:rsidRDefault="006C6F4F">
            <w:pPr>
              <w:pStyle w:val="TableParagraph"/>
              <w:rPr>
                <w:rFonts w:ascii="Arial Narrow"/>
                <w:sz w:val="18"/>
              </w:rPr>
            </w:pPr>
          </w:p>
          <w:p w:rsidR="006C6F4F" w:rsidRDefault="006C6F4F">
            <w:pPr>
              <w:pStyle w:val="TableParagraph"/>
              <w:spacing w:before="4"/>
              <w:rPr>
                <w:rFonts w:ascii="Arial Narrow"/>
                <w:sz w:val="20"/>
              </w:rPr>
            </w:pPr>
          </w:p>
          <w:p w:rsidR="006C6F4F" w:rsidRDefault="004C0E36">
            <w:pPr>
              <w:pStyle w:val="TableParagraph"/>
              <w:ind w:right="99"/>
              <w:jc w:val="right"/>
              <w:rPr>
                <w:b/>
                <w:sz w:val="16"/>
              </w:rPr>
            </w:pPr>
            <w:r>
              <w:rPr>
                <w:b/>
                <w:sz w:val="16"/>
              </w:rPr>
              <w:t>73.020</w:t>
            </w:r>
          </w:p>
        </w:tc>
      </w:tr>
      <w:tr w:rsidR="006C6F4F">
        <w:trPr>
          <w:trHeight w:val="395"/>
        </w:trPr>
        <w:tc>
          <w:tcPr>
            <w:tcW w:w="2122" w:type="dxa"/>
            <w:gridSpan w:val="2"/>
            <w:tcBorders>
              <w:left w:val="nil"/>
              <w:bottom w:val="nil"/>
            </w:tcBorders>
          </w:tcPr>
          <w:p w:rsidR="006C6F4F" w:rsidRDefault="006C6F4F">
            <w:pPr>
              <w:pStyle w:val="TableParagraph"/>
              <w:rPr>
                <w:rFonts w:ascii="Times New Roman"/>
                <w:sz w:val="18"/>
              </w:rPr>
            </w:pPr>
          </w:p>
        </w:tc>
        <w:tc>
          <w:tcPr>
            <w:tcW w:w="5673" w:type="dxa"/>
            <w:shd w:val="clear" w:color="auto" w:fill="B8CCE3"/>
          </w:tcPr>
          <w:p w:rsidR="006C6F4F" w:rsidRDefault="004C0E36">
            <w:pPr>
              <w:pStyle w:val="TableParagraph"/>
              <w:spacing w:before="67"/>
              <w:ind w:left="2188"/>
              <w:rPr>
                <w:b/>
              </w:rPr>
            </w:pPr>
            <w:r>
              <w:rPr>
                <w:b/>
              </w:rPr>
              <w:t>TOTAL………………………………</w:t>
            </w:r>
          </w:p>
        </w:tc>
        <w:tc>
          <w:tcPr>
            <w:tcW w:w="1815" w:type="dxa"/>
            <w:shd w:val="clear" w:color="auto" w:fill="B8CCE3"/>
          </w:tcPr>
          <w:p w:rsidR="006C6F4F" w:rsidRDefault="004C0E36">
            <w:pPr>
              <w:pStyle w:val="TableParagraph"/>
              <w:spacing w:before="67"/>
              <w:ind w:right="97"/>
              <w:jc w:val="right"/>
              <w:rPr>
                <w:b/>
              </w:rPr>
            </w:pPr>
            <w:r>
              <w:rPr>
                <w:b/>
              </w:rPr>
              <w:t>133.020</w:t>
            </w:r>
          </w:p>
        </w:tc>
      </w:tr>
    </w:tbl>
    <w:p w:rsidR="006C6F4F" w:rsidRDefault="006C6F4F">
      <w:pPr>
        <w:jc w:val="right"/>
        <w:sectPr w:rsidR="006C6F4F">
          <w:pgSz w:w="11910" w:h="16840"/>
          <w:pgMar w:top="1480" w:right="580" w:bottom="920" w:left="1480" w:header="295" w:footer="734" w:gutter="0"/>
          <w:cols w:space="720"/>
        </w:sect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rPr>
          <w:sz w:val="20"/>
        </w:rPr>
      </w:pPr>
    </w:p>
    <w:p w:rsidR="006C6F4F" w:rsidRDefault="006C6F4F">
      <w:pPr>
        <w:pStyle w:val="Textoindependiente"/>
        <w:spacing w:after="1"/>
        <w:rPr>
          <w:sz w:val="1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7"/>
        <w:gridCol w:w="456"/>
        <w:gridCol w:w="5669"/>
        <w:gridCol w:w="1674"/>
      </w:tblGrid>
      <w:tr w:rsidR="006C6F4F">
        <w:trPr>
          <w:trHeight w:val="736"/>
        </w:trPr>
        <w:tc>
          <w:tcPr>
            <w:tcW w:w="9606" w:type="dxa"/>
            <w:gridSpan w:val="4"/>
            <w:shd w:val="clear" w:color="auto" w:fill="DBE4F0"/>
          </w:tcPr>
          <w:p w:rsidR="006C6F4F" w:rsidRDefault="006C6F4F">
            <w:pPr>
              <w:pStyle w:val="TableParagraph"/>
              <w:rPr>
                <w:rFonts w:ascii="Arial Narrow"/>
                <w:sz w:val="20"/>
              </w:rPr>
            </w:pPr>
          </w:p>
          <w:p w:rsidR="006C6F4F" w:rsidRDefault="004C0E36">
            <w:pPr>
              <w:pStyle w:val="TableParagraph"/>
              <w:ind w:left="2730" w:right="2721"/>
              <w:jc w:val="center"/>
              <w:rPr>
                <w:rFonts w:ascii="Calibri" w:hAnsi="Calibri"/>
                <w:b/>
              </w:rPr>
            </w:pPr>
            <w:r>
              <w:rPr>
                <w:rFonts w:ascii="Calibri" w:hAnsi="Calibri"/>
                <w:b/>
              </w:rPr>
              <w:t>ORGANIZACIÓN NACIONAL DE TRASPLANTES</w:t>
            </w:r>
          </w:p>
        </w:tc>
      </w:tr>
      <w:tr w:rsidR="006C6F4F">
        <w:trPr>
          <w:trHeight w:val="849"/>
        </w:trPr>
        <w:tc>
          <w:tcPr>
            <w:tcW w:w="1807" w:type="dxa"/>
          </w:tcPr>
          <w:p w:rsidR="006C6F4F" w:rsidRDefault="006C6F4F">
            <w:pPr>
              <w:pStyle w:val="TableParagraph"/>
              <w:spacing w:before="6"/>
              <w:rPr>
                <w:rFonts w:ascii="Arial Narrow"/>
                <w:sz w:val="27"/>
              </w:rPr>
            </w:pPr>
          </w:p>
          <w:p w:rsidR="006C6F4F" w:rsidRDefault="004C0E36">
            <w:pPr>
              <w:pStyle w:val="TableParagraph"/>
              <w:ind w:left="107"/>
              <w:rPr>
                <w:b/>
                <w:sz w:val="18"/>
              </w:rPr>
            </w:pPr>
            <w:r>
              <w:rPr>
                <w:b/>
                <w:color w:val="FF0000"/>
                <w:sz w:val="18"/>
              </w:rPr>
              <w:t>26.04.311O.481</w:t>
            </w:r>
          </w:p>
        </w:tc>
        <w:tc>
          <w:tcPr>
            <w:tcW w:w="456" w:type="dxa"/>
          </w:tcPr>
          <w:p w:rsidR="006C6F4F" w:rsidRDefault="006C6F4F">
            <w:pPr>
              <w:pStyle w:val="TableParagraph"/>
              <w:spacing w:before="6"/>
              <w:rPr>
                <w:rFonts w:ascii="Arial Narrow"/>
                <w:sz w:val="27"/>
              </w:rPr>
            </w:pPr>
          </w:p>
          <w:p w:rsidR="006C6F4F" w:rsidRDefault="004C0E36">
            <w:pPr>
              <w:pStyle w:val="TableParagraph"/>
              <w:ind w:left="9"/>
              <w:jc w:val="center"/>
              <w:rPr>
                <w:b/>
                <w:sz w:val="18"/>
              </w:rPr>
            </w:pPr>
            <w:r>
              <w:rPr>
                <w:b/>
                <w:w w:val="99"/>
                <w:sz w:val="18"/>
              </w:rPr>
              <w:t>1</w:t>
            </w:r>
          </w:p>
        </w:tc>
        <w:tc>
          <w:tcPr>
            <w:tcW w:w="5669" w:type="dxa"/>
          </w:tcPr>
          <w:p w:rsidR="006C6F4F" w:rsidRDefault="004C0E36">
            <w:pPr>
              <w:pStyle w:val="TableParagraph"/>
              <w:spacing w:before="114"/>
              <w:ind w:left="108"/>
              <w:rPr>
                <w:sz w:val="18"/>
              </w:rPr>
            </w:pPr>
            <w:r>
              <w:rPr>
                <w:sz w:val="18"/>
              </w:rPr>
              <w:t>Subvenciones destinadas a incentivar la extracción, el trasplante así como la calidad y la seguridad de los órganos humanos y la formación.</w:t>
            </w:r>
          </w:p>
        </w:tc>
        <w:tc>
          <w:tcPr>
            <w:tcW w:w="1674" w:type="dxa"/>
          </w:tcPr>
          <w:p w:rsidR="006C6F4F" w:rsidRDefault="006C6F4F">
            <w:pPr>
              <w:pStyle w:val="TableParagraph"/>
              <w:spacing w:before="11"/>
              <w:rPr>
                <w:rFonts w:ascii="Arial Narrow"/>
                <w:sz w:val="27"/>
              </w:rPr>
            </w:pPr>
          </w:p>
          <w:p w:rsidR="006C6F4F" w:rsidRDefault="004C0E36">
            <w:pPr>
              <w:pStyle w:val="TableParagraph"/>
              <w:ind w:right="95"/>
              <w:jc w:val="right"/>
              <w:rPr>
                <w:sz w:val="18"/>
              </w:rPr>
            </w:pPr>
            <w:r>
              <w:rPr>
                <w:sz w:val="18"/>
              </w:rPr>
              <w:t>2.059.170</w:t>
            </w:r>
          </w:p>
        </w:tc>
      </w:tr>
      <w:tr w:rsidR="006C6F4F">
        <w:trPr>
          <w:trHeight w:val="851"/>
        </w:trPr>
        <w:tc>
          <w:tcPr>
            <w:tcW w:w="1807" w:type="dxa"/>
          </w:tcPr>
          <w:p w:rsidR="006C6F4F" w:rsidRDefault="006C6F4F">
            <w:pPr>
              <w:pStyle w:val="TableParagraph"/>
              <w:spacing w:before="5"/>
              <w:rPr>
                <w:rFonts w:ascii="Arial Narrow"/>
                <w:sz w:val="27"/>
              </w:rPr>
            </w:pPr>
          </w:p>
          <w:p w:rsidR="006C6F4F" w:rsidRDefault="004C0E36">
            <w:pPr>
              <w:pStyle w:val="TableParagraph"/>
              <w:spacing w:before="1"/>
              <w:ind w:left="107"/>
              <w:rPr>
                <w:b/>
                <w:sz w:val="18"/>
              </w:rPr>
            </w:pPr>
            <w:r>
              <w:rPr>
                <w:b/>
                <w:color w:val="FF0000"/>
                <w:sz w:val="18"/>
              </w:rPr>
              <w:t>26.04.311O.481</w:t>
            </w:r>
          </w:p>
        </w:tc>
        <w:tc>
          <w:tcPr>
            <w:tcW w:w="456" w:type="dxa"/>
          </w:tcPr>
          <w:p w:rsidR="006C6F4F" w:rsidRDefault="006C6F4F">
            <w:pPr>
              <w:pStyle w:val="TableParagraph"/>
              <w:spacing w:before="5"/>
              <w:rPr>
                <w:rFonts w:ascii="Arial Narrow"/>
                <w:sz w:val="27"/>
              </w:rPr>
            </w:pPr>
          </w:p>
          <w:p w:rsidR="006C6F4F" w:rsidRDefault="004C0E36">
            <w:pPr>
              <w:pStyle w:val="TableParagraph"/>
              <w:spacing w:before="1"/>
              <w:ind w:left="9"/>
              <w:jc w:val="center"/>
              <w:rPr>
                <w:b/>
                <w:sz w:val="18"/>
              </w:rPr>
            </w:pPr>
            <w:r>
              <w:rPr>
                <w:b/>
                <w:w w:val="99"/>
                <w:sz w:val="18"/>
              </w:rPr>
              <w:t>2</w:t>
            </w:r>
          </w:p>
        </w:tc>
        <w:tc>
          <w:tcPr>
            <w:tcW w:w="5669" w:type="dxa"/>
          </w:tcPr>
          <w:p w:rsidR="006C6F4F" w:rsidRDefault="006C6F4F">
            <w:pPr>
              <w:pStyle w:val="TableParagraph"/>
              <w:spacing w:before="10"/>
              <w:rPr>
                <w:rFonts w:ascii="Arial Narrow"/>
                <w:sz w:val="18"/>
              </w:rPr>
            </w:pPr>
          </w:p>
          <w:p w:rsidR="006C6F4F" w:rsidRDefault="004C0E36">
            <w:pPr>
              <w:pStyle w:val="TableParagraph"/>
              <w:spacing w:before="1"/>
              <w:ind w:left="108" w:right="197"/>
              <w:rPr>
                <w:sz w:val="18"/>
              </w:rPr>
            </w:pPr>
            <w:r>
              <w:rPr>
                <w:sz w:val="18"/>
              </w:rPr>
              <w:t>Subvenciones destinadas a incentivar la formación en el ámbito de la donación y trasplante de órganos, tejidos y células.</w:t>
            </w:r>
          </w:p>
        </w:tc>
        <w:tc>
          <w:tcPr>
            <w:tcW w:w="1674" w:type="dxa"/>
          </w:tcPr>
          <w:p w:rsidR="006C6F4F" w:rsidRDefault="006C6F4F">
            <w:pPr>
              <w:pStyle w:val="TableParagraph"/>
              <w:spacing w:before="10"/>
              <w:rPr>
                <w:rFonts w:ascii="Arial Narrow"/>
                <w:sz w:val="27"/>
              </w:rPr>
            </w:pPr>
          </w:p>
          <w:p w:rsidR="006C6F4F" w:rsidRDefault="004C0E36">
            <w:pPr>
              <w:pStyle w:val="TableParagraph"/>
              <w:ind w:right="96"/>
              <w:jc w:val="right"/>
              <w:rPr>
                <w:sz w:val="18"/>
              </w:rPr>
            </w:pPr>
            <w:r>
              <w:rPr>
                <w:w w:val="99"/>
                <w:sz w:val="18"/>
              </w:rPr>
              <w:t>0</w:t>
            </w:r>
          </w:p>
        </w:tc>
      </w:tr>
      <w:tr w:rsidR="006C6F4F">
        <w:trPr>
          <w:trHeight w:val="849"/>
        </w:trPr>
        <w:tc>
          <w:tcPr>
            <w:tcW w:w="1807" w:type="dxa"/>
          </w:tcPr>
          <w:p w:rsidR="006C6F4F" w:rsidRDefault="006C6F4F">
            <w:pPr>
              <w:pStyle w:val="TableParagraph"/>
              <w:spacing w:before="5"/>
              <w:rPr>
                <w:rFonts w:ascii="Arial Narrow"/>
                <w:sz w:val="27"/>
              </w:rPr>
            </w:pPr>
          </w:p>
          <w:p w:rsidR="006C6F4F" w:rsidRDefault="004C0E36">
            <w:pPr>
              <w:pStyle w:val="TableParagraph"/>
              <w:spacing w:before="1"/>
              <w:ind w:left="107"/>
              <w:rPr>
                <w:b/>
                <w:sz w:val="18"/>
              </w:rPr>
            </w:pPr>
            <w:r>
              <w:rPr>
                <w:b/>
                <w:sz w:val="18"/>
              </w:rPr>
              <w:t>26.105.313D.480</w:t>
            </w:r>
          </w:p>
        </w:tc>
        <w:tc>
          <w:tcPr>
            <w:tcW w:w="456" w:type="dxa"/>
          </w:tcPr>
          <w:p w:rsidR="006C6F4F" w:rsidRDefault="006C6F4F">
            <w:pPr>
              <w:pStyle w:val="TableParagraph"/>
              <w:spacing w:before="5"/>
              <w:rPr>
                <w:rFonts w:ascii="Arial Narrow"/>
                <w:sz w:val="27"/>
              </w:rPr>
            </w:pPr>
          </w:p>
          <w:p w:rsidR="006C6F4F" w:rsidRDefault="004C0E36">
            <w:pPr>
              <w:pStyle w:val="TableParagraph"/>
              <w:spacing w:before="1"/>
              <w:ind w:left="9"/>
              <w:jc w:val="center"/>
              <w:rPr>
                <w:b/>
                <w:sz w:val="18"/>
              </w:rPr>
            </w:pPr>
            <w:r>
              <w:rPr>
                <w:b/>
                <w:w w:val="99"/>
                <w:sz w:val="18"/>
              </w:rPr>
              <w:t>3</w:t>
            </w:r>
          </w:p>
        </w:tc>
        <w:tc>
          <w:tcPr>
            <w:tcW w:w="5669" w:type="dxa"/>
          </w:tcPr>
          <w:p w:rsidR="006C6F4F" w:rsidRDefault="006C6F4F">
            <w:pPr>
              <w:pStyle w:val="TableParagraph"/>
              <w:spacing w:before="10"/>
              <w:rPr>
                <w:rFonts w:ascii="Arial Narrow"/>
                <w:sz w:val="18"/>
              </w:rPr>
            </w:pPr>
          </w:p>
          <w:p w:rsidR="006C6F4F" w:rsidRDefault="004C0E36">
            <w:pPr>
              <w:pStyle w:val="TableParagraph"/>
              <w:spacing w:before="1"/>
              <w:ind w:left="108" w:right="117"/>
              <w:rPr>
                <w:sz w:val="18"/>
              </w:rPr>
            </w:pPr>
            <w:r>
              <w:rPr>
                <w:sz w:val="18"/>
              </w:rPr>
              <w:t>Subvenciones para la concesión de diversas modalidades de becas y ayudas formativas</w:t>
            </w:r>
          </w:p>
        </w:tc>
        <w:tc>
          <w:tcPr>
            <w:tcW w:w="1674" w:type="dxa"/>
          </w:tcPr>
          <w:p w:rsidR="006C6F4F" w:rsidRDefault="006C6F4F">
            <w:pPr>
              <w:pStyle w:val="TableParagraph"/>
              <w:spacing w:before="10"/>
              <w:rPr>
                <w:rFonts w:ascii="Arial Narrow"/>
                <w:sz w:val="27"/>
              </w:rPr>
            </w:pPr>
          </w:p>
          <w:p w:rsidR="006C6F4F" w:rsidRDefault="004C0E36">
            <w:pPr>
              <w:pStyle w:val="TableParagraph"/>
              <w:ind w:right="94"/>
              <w:jc w:val="right"/>
              <w:rPr>
                <w:sz w:val="18"/>
              </w:rPr>
            </w:pPr>
            <w:r>
              <w:rPr>
                <w:sz w:val="18"/>
              </w:rPr>
              <w:t>67.410</w:t>
            </w:r>
          </w:p>
        </w:tc>
      </w:tr>
      <w:tr w:rsidR="006C6F4F">
        <w:trPr>
          <w:trHeight w:val="397"/>
        </w:trPr>
        <w:tc>
          <w:tcPr>
            <w:tcW w:w="2263" w:type="dxa"/>
            <w:gridSpan w:val="2"/>
            <w:tcBorders>
              <w:left w:val="nil"/>
              <w:bottom w:val="nil"/>
            </w:tcBorders>
          </w:tcPr>
          <w:p w:rsidR="006C6F4F" w:rsidRDefault="006C6F4F">
            <w:pPr>
              <w:pStyle w:val="TableParagraph"/>
              <w:rPr>
                <w:rFonts w:ascii="Times New Roman"/>
                <w:sz w:val="18"/>
              </w:rPr>
            </w:pPr>
          </w:p>
        </w:tc>
        <w:tc>
          <w:tcPr>
            <w:tcW w:w="5669" w:type="dxa"/>
            <w:shd w:val="clear" w:color="auto" w:fill="B8CCE3"/>
          </w:tcPr>
          <w:p w:rsidR="006C6F4F" w:rsidRDefault="004C0E36">
            <w:pPr>
              <w:pStyle w:val="TableParagraph"/>
              <w:spacing w:before="67"/>
              <w:ind w:left="2189"/>
              <w:rPr>
                <w:b/>
              </w:rPr>
            </w:pPr>
            <w:r>
              <w:rPr>
                <w:b/>
              </w:rPr>
              <w:t>TOTAL………………………………</w:t>
            </w:r>
          </w:p>
        </w:tc>
        <w:tc>
          <w:tcPr>
            <w:tcW w:w="1674" w:type="dxa"/>
            <w:shd w:val="clear" w:color="auto" w:fill="B8CCE3"/>
          </w:tcPr>
          <w:p w:rsidR="006C6F4F" w:rsidRDefault="004C0E36">
            <w:pPr>
              <w:pStyle w:val="TableParagraph"/>
              <w:spacing w:before="67"/>
              <w:ind w:right="93"/>
              <w:jc w:val="right"/>
              <w:rPr>
                <w:b/>
              </w:rPr>
            </w:pPr>
            <w:r>
              <w:rPr>
                <w:b/>
              </w:rPr>
              <w:t>2.126.580</w:t>
            </w:r>
          </w:p>
        </w:tc>
      </w:tr>
    </w:tbl>
    <w:p w:rsidR="006C6F4F" w:rsidRDefault="006C6F4F">
      <w:pPr>
        <w:pStyle w:val="Textoindependiente"/>
        <w:rPr>
          <w:sz w:val="20"/>
        </w:rPr>
      </w:pPr>
    </w:p>
    <w:p w:rsidR="006C6F4F" w:rsidRDefault="006C6F4F">
      <w:pPr>
        <w:pStyle w:val="Textoindependiente"/>
        <w:spacing w:before="4"/>
        <w:rPr>
          <w:sz w:val="19"/>
        </w:rPr>
      </w:pPr>
    </w:p>
    <w:p w:rsidR="006C6F4F" w:rsidRDefault="004C0E36">
      <w:pPr>
        <w:spacing w:before="57"/>
        <w:ind w:left="222"/>
        <w:rPr>
          <w:rFonts w:ascii="Calibri"/>
        </w:rPr>
      </w:pPr>
      <w:r>
        <w:rPr>
          <w:rFonts w:ascii="Calibri"/>
        </w:rPr>
        <w:t>Se adjunta nota enviada por el Centro Gestor</w:t>
      </w:r>
    </w:p>
    <w:p w:rsidR="006C6F4F" w:rsidRDefault="006C6F4F">
      <w:pPr>
        <w:rPr>
          <w:rFonts w:ascii="Calibri"/>
        </w:rPr>
        <w:sectPr w:rsidR="006C6F4F">
          <w:pgSz w:w="11910" w:h="16840"/>
          <w:pgMar w:top="1480" w:right="580" w:bottom="920" w:left="1480" w:header="295" w:footer="734" w:gutter="0"/>
          <w:cols w:space="720"/>
        </w:sectPr>
      </w:pPr>
    </w:p>
    <w:p w:rsidR="006C6F4F" w:rsidRDefault="004C0E36">
      <w:pPr>
        <w:spacing w:before="91" w:line="276" w:lineRule="auto"/>
        <w:ind w:left="222" w:right="1120"/>
        <w:jc w:val="both"/>
        <w:rPr>
          <w:rFonts w:ascii="Arial" w:hAnsi="Arial"/>
          <w:b/>
        </w:rPr>
      </w:pPr>
      <w:r>
        <w:rPr>
          <w:rFonts w:ascii="Arial" w:hAnsi="Arial"/>
          <w:b/>
        </w:rPr>
        <w:lastRenderedPageBreak/>
        <w:t>Punto 1: “En la aplicación presupuestaria 26.04.3110.481 dotada con un crédito de 2.059.170 euros se destinan a dos líneas de subvención distintas, una “Subvenciones destinadas a incentivar la formación en el ámbito de la donación y el trasplante de órgano</w:t>
      </w:r>
      <w:r>
        <w:rPr>
          <w:rFonts w:ascii="Arial" w:hAnsi="Arial"/>
          <w:b/>
        </w:rPr>
        <w:t>s, tejidos y células” y la otra línea de subvención “Subvenciones destinadas a incentivar la extracción, el trasplante así como la calidad y la seguridad de los órganos humanos” por lo que se solicita su explicación.”</w:t>
      </w:r>
    </w:p>
    <w:p w:rsidR="006C6F4F" w:rsidRDefault="004C0E36">
      <w:pPr>
        <w:spacing w:before="198" w:line="280" w:lineRule="auto"/>
        <w:ind w:left="222" w:right="1119"/>
        <w:jc w:val="both"/>
        <w:rPr>
          <w:rFonts w:ascii="Arial" w:hAnsi="Arial"/>
        </w:rPr>
      </w:pPr>
      <w:r>
        <w:rPr>
          <w:rFonts w:ascii="Arial" w:hAnsi="Arial"/>
          <w:b/>
        </w:rPr>
        <w:t>Respuesta</w:t>
      </w:r>
      <w:r>
        <w:rPr>
          <w:rFonts w:ascii="Arial" w:hAnsi="Arial"/>
        </w:rPr>
        <w:t>: Las líneas estratégicas que</w:t>
      </w:r>
      <w:r>
        <w:rPr>
          <w:rFonts w:ascii="Arial" w:hAnsi="Arial"/>
        </w:rPr>
        <w:t xml:space="preserve"> persiguen las subvenciones se pueden resumir en dos apartados:</w:t>
      </w:r>
    </w:p>
    <w:p w:rsidR="006C6F4F" w:rsidRDefault="004C0E36">
      <w:pPr>
        <w:pStyle w:val="Prrafodelista"/>
        <w:numPr>
          <w:ilvl w:val="0"/>
          <w:numId w:val="2"/>
        </w:numPr>
        <w:tabs>
          <w:tab w:val="left" w:pos="930"/>
        </w:tabs>
        <w:spacing w:before="193" w:line="276" w:lineRule="auto"/>
        <w:ind w:right="1119" w:firstLine="62"/>
        <w:jc w:val="both"/>
        <w:rPr>
          <w:rFonts w:ascii="Arial" w:hAnsi="Arial"/>
        </w:rPr>
      </w:pPr>
      <w:r>
        <w:rPr>
          <w:rFonts w:ascii="Arial" w:hAnsi="Arial"/>
        </w:rPr>
        <w:t>Formación de los profesionales de la donación y el trasplante que posibilite la formación continuada y la mejor capacitación de todos los profesionales sanitarios en materia de donación y coor</w:t>
      </w:r>
      <w:r>
        <w:rPr>
          <w:rFonts w:ascii="Arial" w:hAnsi="Arial"/>
        </w:rPr>
        <w:t>dinación del</w:t>
      </w:r>
      <w:r>
        <w:rPr>
          <w:rFonts w:ascii="Arial" w:hAnsi="Arial"/>
          <w:spacing w:val="-4"/>
        </w:rPr>
        <w:t xml:space="preserve"> </w:t>
      </w:r>
      <w:r>
        <w:rPr>
          <w:rFonts w:ascii="Arial" w:hAnsi="Arial"/>
        </w:rPr>
        <w:t>trasplante.</w:t>
      </w:r>
    </w:p>
    <w:p w:rsidR="006C6F4F" w:rsidRDefault="004C0E36">
      <w:pPr>
        <w:pStyle w:val="Prrafodelista"/>
        <w:numPr>
          <w:ilvl w:val="0"/>
          <w:numId w:val="2"/>
        </w:numPr>
        <w:tabs>
          <w:tab w:val="left" w:pos="930"/>
        </w:tabs>
        <w:spacing w:before="200" w:line="276" w:lineRule="auto"/>
        <w:ind w:right="1118" w:firstLine="62"/>
        <w:jc w:val="both"/>
        <w:rPr>
          <w:rFonts w:ascii="Arial" w:hAnsi="Arial"/>
        </w:rPr>
      </w:pPr>
      <w:r>
        <w:rPr>
          <w:rFonts w:ascii="Arial" w:hAnsi="Arial"/>
        </w:rPr>
        <w:t>Promoción de la calidad del proceso de donación y trasplante, fomento del intercambio de órganos con otros países e incentivación de actividades de acreditación y</w:t>
      </w:r>
      <w:r>
        <w:rPr>
          <w:rFonts w:ascii="Arial" w:hAnsi="Arial"/>
          <w:spacing w:val="-3"/>
        </w:rPr>
        <w:t xml:space="preserve"> </w:t>
      </w:r>
      <w:r>
        <w:rPr>
          <w:rFonts w:ascii="Arial" w:hAnsi="Arial"/>
        </w:rPr>
        <w:t>registro.</w:t>
      </w:r>
    </w:p>
    <w:p w:rsidR="006C6F4F" w:rsidRDefault="004C0E36">
      <w:pPr>
        <w:spacing w:before="200"/>
        <w:ind w:left="284"/>
        <w:jc w:val="both"/>
        <w:rPr>
          <w:rFonts w:ascii="Arial" w:hAnsi="Arial"/>
        </w:rPr>
      </w:pPr>
      <w:r>
        <w:rPr>
          <w:rFonts w:ascii="Arial" w:hAnsi="Arial"/>
        </w:rPr>
        <w:t>Los procesos clave para desarrollar las líneas estratégicas son:</w:t>
      </w:r>
    </w:p>
    <w:p w:rsidR="006C6F4F" w:rsidRDefault="006C6F4F">
      <w:pPr>
        <w:pStyle w:val="Textoindependiente"/>
        <w:spacing w:before="9"/>
        <w:rPr>
          <w:rFonts w:ascii="Arial"/>
          <w:sz w:val="20"/>
        </w:rPr>
      </w:pPr>
    </w:p>
    <w:p w:rsidR="006C6F4F" w:rsidRDefault="004C0E36">
      <w:pPr>
        <w:spacing w:before="1" w:line="276" w:lineRule="auto"/>
        <w:ind w:left="222" w:right="1122" w:firstLine="60"/>
        <w:jc w:val="both"/>
        <w:rPr>
          <w:rFonts w:ascii="Arial" w:hAnsi="Arial"/>
        </w:rPr>
      </w:pPr>
      <w:r>
        <w:rPr>
          <w:rFonts w:ascii="Arial" w:hAnsi="Arial"/>
        </w:rPr>
        <w:t>-La organización de actividades formativas y proyectos de promoción relacionados con la donación y el trasplante de órganos y tejidos</w:t>
      </w:r>
      <w:r>
        <w:rPr>
          <w:rFonts w:ascii="Arial" w:hAnsi="Arial"/>
          <w:spacing w:val="-10"/>
        </w:rPr>
        <w:t xml:space="preserve"> </w:t>
      </w:r>
      <w:r>
        <w:rPr>
          <w:rFonts w:ascii="Arial" w:hAnsi="Arial"/>
        </w:rPr>
        <w:t>humanos.</w:t>
      </w:r>
    </w:p>
    <w:p w:rsidR="006C6F4F" w:rsidRDefault="004C0E36">
      <w:pPr>
        <w:spacing w:before="198"/>
        <w:ind w:left="284"/>
        <w:jc w:val="both"/>
        <w:rPr>
          <w:rFonts w:ascii="Arial" w:hAnsi="Arial"/>
        </w:rPr>
      </w:pPr>
      <w:r>
        <w:rPr>
          <w:rFonts w:ascii="Arial" w:hAnsi="Arial"/>
        </w:rPr>
        <w:t>-Actividades dirigidas a la mejora de la calida</w:t>
      </w:r>
      <w:r>
        <w:rPr>
          <w:rFonts w:ascii="Arial" w:hAnsi="Arial"/>
        </w:rPr>
        <w:t>d en el proceso de donación.</w:t>
      </w:r>
    </w:p>
    <w:p w:rsidR="006C6F4F" w:rsidRDefault="006C6F4F">
      <w:pPr>
        <w:pStyle w:val="Textoindependiente"/>
        <w:spacing w:before="9"/>
        <w:rPr>
          <w:rFonts w:ascii="Arial"/>
          <w:sz w:val="20"/>
        </w:rPr>
      </w:pPr>
    </w:p>
    <w:p w:rsidR="006C6F4F" w:rsidRDefault="004C0E36">
      <w:pPr>
        <w:spacing w:line="276" w:lineRule="auto"/>
        <w:ind w:left="222" w:right="1120" w:firstLine="60"/>
        <w:jc w:val="both"/>
        <w:rPr>
          <w:rFonts w:ascii="Arial" w:hAnsi="Arial"/>
        </w:rPr>
      </w:pPr>
      <w:r>
        <w:rPr>
          <w:rFonts w:ascii="Arial" w:hAnsi="Arial"/>
        </w:rPr>
        <w:t>-Incentivación de actividades de acreditación y registro relacionadas con el proceso de donación y</w:t>
      </w:r>
      <w:r>
        <w:rPr>
          <w:rFonts w:ascii="Arial" w:hAnsi="Arial"/>
          <w:spacing w:val="-3"/>
        </w:rPr>
        <w:t xml:space="preserve"> </w:t>
      </w:r>
      <w:r>
        <w:rPr>
          <w:rFonts w:ascii="Arial" w:hAnsi="Arial"/>
        </w:rPr>
        <w:t>trasplante.</w:t>
      </w:r>
    </w:p>
    <w:p w:rsidR="006C6F4F" w:rsidRDefault="004C0E36">
      <w:pPr>
        <w:spacing w:before="201" w:line="276" w:lineRule="auto"/>
        <w:ind w:left="222" w:right="1123" w:firstLine="60"/>
        <w:jc w:val="both"/>
        <w:rPr>
          <w:rFonts w:ascii="Arial" w:hAnsi="Arial"/>
        </w:rPr>
      </w:pPr>
      <w:r>
        <w:rPr>
          <w:rFonts w:ascii="Arial" w:hAnsi="Arial"/>
        </w:rPr>
        <w:t>La diversidad en las actividades a financiar obliga a que el régimen de subvenciones contemple dos tipos de ayudas:</w:t>
      </w:r>
    </w:p>
    <w:p w:rsidR="006C6F4F" w:rsidRDefault="004C0E36">
      <w:pPr>
        <w:pStyle w:val="Prrafodelista"/>
        <w:numPr>
          <w:ilvl w:val="0"/>
          <w:numId w:val="1"/>
        </w:numPr>
        <w:tabs>
          <w:tab w:val="left" w:pos="441"/>
        </w:tabs>
        <w:spacing w:before="200" w:line="276" w:lineRule="auto"/>
        <w:ind w:right="1121" w:firstLine="60"/>
        <w:rPr>
          <w:rFonts w:ascii="Arial" w:hAnsi="Arial"/>
        </w:rPr>
      </w:pPr>
      <w:r>
        <w:rPr>
          <w:rFonts w:ascii="Arial" w:hAnsi="Arial"/>
        </w:rPr>
        <w:t>Subvenciones para compensar la extracción, el trasplante así como la calidad y la seguridad de los órganos</w:t>
      </w:r>
      <w:r>
        <w:rPr>
          <w:rFonts w:ascii="Arial" w:hAnsi="Arial"/>
          <w:spacing w:val="-2"/>
        </w:rPr>
        <w:t xml:space="preserve"> </w:t>
      </w:r>
      <w:r>
        <w:rPr>
          <w:rFonts w:ascii="Arial" w:hAnsi="Arial"/>
        </w:rPr>
        <w:t>humanos.</w:t>
      </w:r>
    </w:p>
    <w:p w:rsidR="006C6F4F" w:rsidRDefault="004C0E36">
      <w:pPr>
        <w:pStyle w:val="Prrafodelista"/>
        <w:numPr>
          <w:ilvl w:val="0"/>
          <w:numId w:val="1"/>
        </w:numPr>
        <w:tabs>
          <w:tab w:val="left" w:pos="484"/>
        </w:tabs>
        <w:spacing w:before="198" w:line="278" w:lineRule="auto"/>
        <w:ind w:firstLine="60"/>
        <w:rPr>
          <w:rFonts w:ascii="Arial" w:hAnsi="Arial"/>
        </w:rPr>
      </w:pPr>
      <w:r>
        <w:rPr>
          <w:rFonts w:ascii="Arial" w:hAnsi="Arial"/>
        </w:rPr>
        <w:t>Subvenciones para compensar la formación en el ámbito de la donación y el trasplante de órganos, tejidos y</w:t>
      </w:r>
      <w:r>
        <w:rPr>
          <w:rFonts w:ascii="Arial" w:hAnsi="Arial"/>
          <w:spacing w:val="-7"/>
        </w:rPr>
        <w:t xml:space="preserve"> </w:t>
      </w:r>
      <w:r>
        <w:rPr>
          <w:rFonts w:ascii="Arial" w:hAnsi="Arial"/>
        </w:rPr>
        <w:t>células.</w:t>
      </w:r>
    </w:p>
    <w:p w:rsidR="006C6F4F" w:rsidRDefault="004C0E36">
      <w:pPr>
        <w:spacing w:before="196" w:line="276" w:lineRule="auto"/>
        <w:ind w:left="222" w:right="1118"/>
        <w:jc w:val="both"/>
        <w:rPr>
          <w:rFonts w:ascii="Arial" w:hAnsi="Arial"/>
        </w:rPr>
      </w:pPr>
      <w:r>
        <w:rPr>
          <w:rFonts w:ascii="Arial" w:hAnsi="Arial"/>
        </w:rPr>
        <w:t>Para esta línea de subvención, no existe un criterio de coordinación con otras administraciones públicas.</w:t>
      </w:r>
    </w:p>
    <w:p w:rsidR="006C6F4F" w:rsidRDefault="004C0E36">
      <w:pPr>
        <w:spacing w:before="201" w:line="276" w:lineRule="auto"/>
        <w:ind w:left="222" w:right="1116"/>
        <w:jc w:val="both"/>
        <w:rPr>
          <w:rFonts w:ascii="Arial" w:hAnsi="Arial"/>
        </w:rPr>
      </w:pPr>
      <w:r>
        <w:rPr>
          <w:rFonts w:ascii="Arial" w:hAnsi="Arial"/>
        </w:rPr>
        <w:t xml:space="preserve">La Orden de Bases Reguladoras no incluyen actuaciones específicas de igualdad puesto que tanto la convocatoria y resolución reguladas por la Orden de </w:t>
      </w:r>
      <w:r>
        <w:rPr>
          <w:rFonts w:ascii="Arial" w:hAnsi="Arial"/>
        </w:rPr>
        <w:t>Bases Reguladoras se rigen por los principios de publicidad, transparencia, concurrencia, objetividad, igualdad y no discriminación, eficacia en el cumplimiento de los objetivos fijados por la Administración y eficiencia en la asignación y utilización de l</w:t>
      </w:r>
      <w:r>
        <w:rPr>
          <w:rFonts w:ascii="Arial" w:hAnsi="Arial"/>
        </w:rPr>
        <w:t>os recursos públicos, establecidos en el artículo 8.3 de la citada Ley 38/2003, de 17 de noviembre.</w:t>
      </w:r>
    </w:p>
    <w:p w:rsidR="006C6F4F" w:rsidRDefault="006C6F4F">
      <w:pPr>
        <w:spacing w:line="276" w:lineRule="auto"/>
        <w:jc w:val="both"/>
        <w:rPr>
          <w:rFonts w:ascii="Arial" w:hAnsi="Arial"/>
        </w:rPr>
        <w:sectPr w:rsidR="006C6F4F">
          <w:pgSz w:w="11910" w:h="16840"/>
          <w:pgMar w:top="1480" w:right="580" w:bottom="920" w:left="1480" w:header="295" w:footer="734" w:gutter="0"/>
          <w:cols w:space="720"/>
        </w:sectPr>
      </w:pPr>
    </w:p>
    <w:p w:rsidR="006C6F4F" w:rsidRDefault="006C6F4F">
      <w:pPr>
        <w:pStyle w:val="Textoindependiente"/>
        <w:rPr>
          <w:rFonts w:ascii="Arial"/>
          <w:sz w:val="20"/>
        </w:rPr>
      </w:pPr>
    </w:p>
    <w:p w:rsidR="006C6F4F" w:rsidRDefault="006C6F4F">
      <w:pPr>
        <w:pStyle w:val="Textoindependiente"/>
        <w:rPr>
          <w:rFonts w:ascii="Arial"/>
          <w:sz w:val="20"/>
        </w:rPr>
      </w:pPr>
    </w:p>
    <w:p w:rsidR="006C6F4F" w:rsidRDefault="006C6F4F">
      <w:pPr>
        <w:pStyle w:val="Textoindependiente"/>
        <w:spacing w:before="6" w:after="1"/>
        <w:rPr>
          <w:rFonts w:ascii="Arial"/>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557"/>
        <w:gridCol w:w="5528"/>
        <w:gridCol w:w="1675"/>
      </w:tblGrid>
      <w:tr w:rsidR="006C6F4F">
        <w:trPr>
          <w:trHeight w:val="736"/>
        </w:trPr>
        <w:tc>
          <w:tcPr>
            <w:tcW w:w="9608" w:type="dxa"/>
            <w:gridSpan w:val="4"/>
            <w:shd w:val="clear" w:color="auto" w:fill="DBE4F0"/>
          </w:tcPr>
          <w:p w:rsidR="006C6F4F" w:rsidRDefault="006C6F4F">
            <w:pPr>
              <w:pStyle w:val="TableParagraph"/>
              <w:spacing w:before="11"/>
              <w:rPr>
                <w:sz w:val="19"/>
              </w:rPr>
            </w:pPr>
          </w:p>
          <w:p w:rsidR="006C6F4F" w:rsidRDefault="004C0E36">
            <w:pPr>
              <w:pStyle w:val="TableParagraph"/>
              <w:ind w:left="1504" w:right="1491"/>
              <w:jc w:val="center"/>
              <w:rPr>
                <w:rFonts w:ascii="Calibri" w:hAnsi="Calibri"/>
                <w:b/>
              </w:rPr>
            </w:pPr>
            <w:r>
              <w:rPr>
                <w:rFonts w:ascii="Calibri" w:hAnsi="Calibri"/>
                <w:b/>
              </w:rPr>
              <w:t>AGENCIA ESPAÑOLA DE MEDICAMENTOS Y PRODUCTOS SANITARIOS</w:t>
            </w:r>
          </w:p>
        </w:tc>
      </w:tr>
      <w:tr w:rsidR="006C6F4F">
        <w:trPr>
          <w:trHeight w:val="676"/>
        </w:trPr>
        <w:tc>
          <w:tcPr>
            <w:tcW w:w="1848" w:type="dxa"/>
          </w:tcPr>
          <w:p w:rsidR="006C6F4F" w:rsidRDefault="006C6F4F">
            <w:pPr>
              <w:pStyle w:val="TableParagraph"/>
              <w:spacing w:before="10"/>
              <w:rPr>
                <w:sz w:val="19"/>
              </w:rPr>
            </w:pPr>
          </w:p>
          <w:p w:rsidR="006C6F4F" w:rsidRDefault="004C0E36">
            <w:pPr>
              <w:pStyle w:val="TableParagraph"/>
              <w:spacing w:before="1"/>
              <w:ind w:left="107"/>
              <w:rPr>
                <w:b/>
                <w:sz w:val="18"/>
              </w:rPr>
            </w:pPr>
            <w:r>
              <w:rPr>
                <w:b/>
                <w:sz w:val="18"/>
              </w:rPr>
              <w:t>26.301.313A.481</w:t>
            </w:r>
          </w:p>
        </w:tc>
        <w:tc>
          <w:tcPr>
            <w:tcW w:w="557" w:type="dxa"/>
          </w:tcPr>
          <w:p w:rsidR="006C6F4F" w:rsidRDefault="006C6F4F">
            <w:pPr>
              <w:pStyle w:val="TableParagraph"/>
              <w:spacing w:before="10"/>
              <w:rPr>
                <w:sz w:val="19"/>
              </w:rPr>
            </w:pPr>
          </w:p>
          <w:p w:rsidR="006C6F4F" w:rsidRDefault="004C0E36">
            <w:pPr>
              <w:pStyle w:val="TableParagraph"/>
              <w:spacing w:before="1"/>
              <w:ind w:left="227"/>
              <w:rPr>
                <w:b/>
                <w:sz w:val="18"/>
              </w:rPr>
            </w:pPr>
            <w:r>
              <w:rPr>
                <w:b/>
                <w:w w:val="99"/>
                <w:sz w:val="18"/>
              </w:rPr>
              <w:t>1</w:t>
            </w:r>
          </w:p>
        </w:tc>
        <w:tc>
          <w:tcPr>
            <w:tcW w:w="5528" w:type="dxa"/>
          </w:tcPr>
          <w:p w:rsidR="006C6F4F" w:rsidRDefault="004C0E36">
            <w:pPr>
              <w:pStyle w:val="TableParagraph"/>
              <w:spacing w:before="25"/>
              <w:ind w:left="108" w:right="430"/>
              <w:jc w:val="both"/>
              <w:rPr>
                <w:sz w:val="18"/>
              </w:rPr>
            </w:pPr>
            <w:r>
              <w:rPr>
                <w:sz w:val="18"/>
              </w:rPr>
              <w:t xml:space="preserve">Becas de formación </w:t>
            </w:r>
            <w:proofErr w:type="gramStart"/>
            <w:r>
              <w:rPr>
                <w:sz w:val="18"/>
              </w:rPr>
              <w:t>superior ,</w:t>
            </w:r>
            <w:proofErr w:type="gramEnd"/>
            <w:r>
              <w:rPr>
                <w:sz w:val="18"/>
              </w:rPr>
              <w:t xml:space="preserve"> en concurrencia competitiva,</w:t>
            </w:r>
            <w:r>
              <w:rPr>
                <w:spacing w:val="-25"/>
                <w:sz w:val="18"/>
              </w:rPr>
              <w:t xml:space="preserve"> </w:t>
            </w:r>
            <w:r>
              <w:rPr>
                <w:sz w:val="18"/>
              </w:rPr>
              <w:t>en todos los ámbitos de la Agencia Española de Medicamentos y Productos Sanitarios.</w:t>
            </w:r>
          </w:p>
        </w:tc>
        <w:tc>
          <w:tcPr>
            <w:tcW w:w="1675" w:type="dxa"/>
          </w:tcPr>
          <w:p w:rsidR="006C6F4F" w:rsidRDefault="006C6F4F">
            <w:pPr>
              <w:pStyle w:val="TableParagraph"/>
              <w:spacing w:before="4"/>
              <w:rPr>
                <w:sz w:val="20"/>
              </w:rPr>
            </w:pPr>
          </w:p>
          <w:p w:rsidR="006C6F4F" w:rsidRDefault="004C0E36">
            <w:pPr>
              <w:pStyle w:val="TableParagraph"/>
              <w:ind w:right="96"/>
              <w:jc w:val="right"/>
              <w:rPr>
                <w:sz w:val="18"/>
              </w:rPr>
            </w:pPr>
            <w:r>
              <w:rPr>
                <w:sz w:val="18"/>
              </w:rPr>
              <w:t>787.000</w:t>
            </w:r>
          </w:p>
        </w:tc>
      </w:tr>
      <w:tr w:rsidR="006C6F4F">
        <w:trPr>
          <w:trHeight w:val="503"/>
        </w:trPr>
        <w:tc>
          <w:tcPr>
            <w:tcW w:w="1848" w:type="dxa"/>
          </w:tcPr>
          <w:p w:rsidR="006C6F4F" w:rsidRDefault="004C0E36">
            <w:pPr>
              <w:pStyle w:val="TableParagraph"/>
              <w:spacing w:before="143"/>
              <w:ind w:left="107"/>
              <w:rPr>
                <w:b/>
                <w:sz w:val="18"/>
              </w:rPr>
            </w:pPr>
            <w:r>
              <w:rPr>
                <w:b/>
                <w:sz w:val="18"/>
              </w:rPr>
              <w:t>26.301.313A.482</w:t>
            </w:r>
          </w:p>
        </w:tc>
        <w:tc>
          <w:tcPr>
            <w:tcW w:w="557" w:type="dxa"/>
          </w:tcPr>
          <w:p w:rsidR="006C6F4F" w:rsidRDefault="004C0E36">
            <w:pPr>
              <w:pStyle w:val="TableParagraph"/>
              <w:spacing w:before="143"/>
              <w:ind w:left="227"/>
              <w:rPr>
                <w:b/>
                <w:sz w:val="18"/>
              </w:rPr>
            </w:pPr>
            <w:r>
              <w:rPr>
                <w:b/>
                <w:w w:val="99"/>
                <w:sz w:val="18"/>
              </w:rPr>
              <w:t>2</w:t>
            </w:r>
          </w:p>
        </w:tc>
        <w:tc>
          <w:tcPr>
            <w:tcW w:w="5528" w:type="dxa"/>
          </w:tcPr>
          <w:p w:rsidR="006C6F4F" w:rsidRDefault="004C0E36">
            <w:pPr>
              <w:pStyle w:val="TableParagraph"/>
              <w:spacing w:before="44"/>
              <w:ind w:left="108" w:right="127"/>
              <w:rPr>
                <w:sz w:val="18"/>
              </w:rPr>
            </w:pPr>
            <w:r>
              <w:rPr>
                <w:sz w:val="18"/>
              </w:rPr>
              <w:t>A Fundación Casa del Corazón. Implantes Registro Nacional Marcapasos y desfibriladores.</w:t>
            </w:r>
          </w:p>
        </w:tc>
        <w:tc>
          <w:tcPr>
            <w:tcW w:w="1675" w:type="dxa"/>
          </w:tcPr>
          <w:p w:rsidR="006C6F4F" w:rsidRDefault="004C0E36">
            <w:pPr>
              <w:pStyle w:val="TableParagraph"/>
              <w:spacing w:before="147"/>
              <w:ind w:right="96"/>
              <w:jc w:val="right"/>
              <w:rPr>
                <w:sz w:val="18"/>
              </w:rPr>
            </w:pPr>
            <w:r>
              <w:rPr>
                <w:sz w:val="18"/>
              </w:rPr>
              <w:t>120.000</w:t>
            </w:r>
          </w:p>
        </w:tc>
      </w:tr>
      <w:tr w:rsidR="006C6F4F">
        <w:trPr>
          <w:trHeight w:val="621"/>
        </w:trPr>
        <w:tc>
          <w:tcPr>
            <w:tcW w:w="1848" w:type="dxa"/>
          </w:tcPr>
          <w:p w:rsidR="006C6F4F" w:rsidRDefault="006C6F4F">
            <w:pPr>
              <w:pStyle w:val="TableParagraph"/>
              <w:spacing w:before="5"/>
              <w:rPr>
                <w:sz w:val="17"/>
              </w:rPr>
            </w:pPr>
          </w:p>
          <w:p w:rsidR="006C6F4F" w:rsidRDefault="004C0E36">
            <w:pPr>
              <w:pStyle w:val="TableParagraph"/>
              <w:ind w:left="107"/>
              <w:rPr>
                <w:b/>
                <w:sz w:val="18"/>
              </w:rPr>
            </w:pPr>
            <w:r>
              <w:rPr>
                <w:b/>
                <w:sz w:val="18"/>
              </w:rPr>
              <w:t>26.301.313A.484</w:t>
            </w:r>
          </w:p>
        </w:tc>
        <w:tc>
          <w:tcPr>
            <w:tcW w:w="557" w:type="dxa"/>
          </w:tcPr>
          <w:p w:rsidR="006C6F4F" w:rsidRDefault="006C6F4F">
            <w:pPr>
              <w:pStyle w:val="TableParagraph"/>
              <w:spacing w:before="5"/>
              <w:rPr>
                <w:sz w:val="17"/>
              </w:rPr>
            </w:pPr>
          </w:p>
          <w:p w:rsidR="006C6F4F" w:rsidRDefault="004C0E36">
            <w:pPr>
              <w:pStyle w:val="TableParagraph"/>
              <w:ind w:left="227"/>
              <w:rPr>
                <w:b/>
                <w:sz w:val="18"/>
              </w:rPr>
            </w:pPr>
            <w:r>
              <w:rPr>
                <w:b/>
                <w:w w:val="99"/>
                <w:sz w:val="18"/>
              </w:rPr>
              <w:t>3</w:t>
            </w:r>
          </w:p>
        </w:tc>
        <w:tc>
          <w:tcPr>
            <w:tcW w:w="5528" w:type="dxa"/>
          </w:tcPr>
          <w:p w:rsidR="006C6F4F" w:rsidRDefault="004C0E36">
            <w:pPr>
              <w:pStyle w:val="TableParagraph"/>
              <w:spacing w:before="3" w:line="206" w:lineRule="exact"/>
              <w:ind w:left="108" w:right="127"/>
              <w:rPr>
                <w:sz w:val="18"/>
              </w:rPr>
            </w:pPr>
            <w:r>
              <w:rPr>
                <w:sz w:val="18"/>
              </w:rPr>
              <w:t xml:space="preserve">A la Fundación ONCE. Informatización de varios campos de </w:t>
            </w:r>
            <w:proofErr w:type="spellStart"/>
            <w:r>
              <w:rPr>
                <w:sz w:val="18"/>
              </w:rPr>
              <w:t>Raevet</w:t>
            </w:r>
            <w:proofErr w:type="spellEnd"/>
            <w:r>
              <w:rPr>
                <w:sz w:val="18"/>
              </w:rPr>
              <w:t xml:space="preserve"> que tengan un impacto directo en el nomenclátor Veterinario y </w:t>
            </w:r>
            <w:proofErr w:type="spellStart"/>
            <w:r>
              <w:rPr>
                <w:sz w:val="18"/>
              </w:rPr>
              <w:t>Cimavet</w:t>
            </w:r>
            <w:proofErr w:type="spellEnd"/>
            <w:r>
              <w:rPr>
                <w:sz w:val="18"/>
              </w:rPr>
              <w:t>.</w:t>
            </w:r>
          </w:p>
        </w:tc>
        <w:tc>
          <w:tcPr>
            <w:tcW w:w="1675" w:type="dxa"/>
          </w:tcPr>
          <w:p w:rsidR="006C6F4F" w:rsidRDefault="006C6F4F">
            <w:pPr>
              <w:pStyle w:val="TableParagraph"/>
              <w:spacing w:before="9"/>
              <w:rPr>
                <w:sz w:val="17"/>
              </w:rPr>
            </w:pPr>
          </w:p>
          <w:p w:rsidR="006C6F4F" w:rsidRDefault="004C0E36">
            <w:pPr>
              <w:pStyle w:val="TableParagraph"/>
              <w:spacing w:before="1"/>
              <w:ind w:right="96"/>
              <w:jc w:val="right"/>
              <w:rPr>
                <w:sz w:val="18"/>
              </w:rPr>
            </w:pPr>
            <w:r>
              <w:rPr>
                <w:sz w:val="18"/>
              </w:rPr>
              <w:t>35.000</w:t>
            </w:r>
          </w:p>
        </w:tc>
      </w:tr>
      <w:tr w:rsidR="006C6F4F">
        <w:trPr>
          <w:trHeight w:val="621"/>
        </w:trPr>
        <w:tc>
          <w:tcPr>
            <w:tcW w:w="1848" w:type="dxa"/>
          </w:tcPr>
          <w:p w:rsidR="006C6F4F" w:rsidRDefault="006C6F4F">
            <w:pPr>
              <w:pStyle w:val="TableParagraph"/>
              <w:spacing w:before="5"/>
              <w:rPr>
                <w:sz w:val="17"/>
              </w:rPr>
            </w:pPr>
          </w:p>
          <w:p w:rsidR="006C6F4F" w:rsidRDefault="004C0E36">
            <w:pPr>
              <w:pStyle w:val="TableParagraph"/>
              <w:ind w:left="107"/>
              <w:rPr>
                <w:b/>
                <w:sz w:val="18"/>
              </w:rPr>
            </w:pPr>
            <w:r>
              <w:rPr>
                <w:b/>
                <w:sz w:val="18"/>
              </w:rPr>
              <w:t>26.301.313A.485</w:t>
            </w:r>
          </w:p>
        </w:tc>
        <w:tc>
          <w:tcPr>
            <w:tcW w:w="557" w:type="dxa"/>
          </w:tcPr>
          <w:p w:rsidR="006C6F4F" w:rsidRDefault="006C6F4F">
            <w:pPr>
              <w:pStyle w:val="TableParagraph"/>
              <w:spacing w:before="5"/>
              <w:rPr>
                <w:sz w:val="17"/>
              </w:rPr>
            </w:pPr>
          </w:p>
          <w:p w:rsidR="006C6F4F" w:rsidRDefault="004C0E36">
            <w:pPr>
              <w:pStyle w:val="TableParagraph"/>
              <w:ind w:left="227"/>
              <w:rPr>
                <w:b/>
                <w:sz w:val="18"/>
              </w:rPr>
            </w:pPr>
            <w:r>
              <w:rPr>
                <w:b/>
                <w:w w:val="99"/>
                <w:sz w:val="18"/>
              </w:rPr>
              <w:t>4</w:t>
            </w:r>
          </w:p>
        </w:tc>
        <w:tc>
          <w:tcPr>
            <w:tcW w:w="5528" w:type="dxa"/>
          </w:tcPr>
          <w:p w:rsidR="006C6F4F" w:rsidRDefault="004C0E36">
            <w:pPr>
              <w:pStyle w:val="TableParagraph"/>
              <w:spacing w:line="206" w:lineRule="exact"/>
              <w:ind w:left="108"/>
              <w:rPr>
                <w:sz w:val="18"/>
              </w:rPr>
            </w:pPr>
            <w:r>
              <w:rPr>
                <w:sz w:val="18"/>
              </w:rPr>
              <w:t>A la Sociedad Española de Cirugía Plástica, Reparadora y</w:t>
            </w:r>
          </w:p>
          <w:p w:rsidR="006C6F4F" w:rsidRDefault="004C0E36">
            <w:pPr>
              <w:pStyle w:val="TableParagraph"/>
              <w:spacing w:before="4" w:line="206" w:lineRule="exact"/>
              <w:ind w:left="108" w:right="808"/>
              <w:rPr>
                <w:sz w:val="18"/>
              </w:rPr>
            </w:pPr>
            <w:proofErr w:type="gramStart"/>
            <w:r>
              <w:rPr>
                <w:sz w:val="18"/>
              </w:rPr>
              <w:t>estética</w:t>
            </w:r>
            <w:proofErr w:type="gramEnd"/>
            <w:r>
              <w:rPr>
                <w:sz w:val="18"/>
              </w:rPr>
              <w:t xml:space="preserve"> (SECPRE). Implantes Registro Nacional Prótesis Mamarias.</w:t>
            </w:r>
          </w:p>
        </w:tc>
        <w:tc>
          <w:tcPr>
            <w:tcW w:w="1675" w:type="dxa"/>
          </w:tcPr>
          <w:p w:rsidR="006C6F4F" w:rsidRDefault="006C6F4F">
            <w:pPr>
              <w:pStyle w:val="TableParagraph"/>
              <w:spacing w:before="10"/>
              <w:rPr>
                <w:sz w:val="17"/>
              </w:rPr>
            </w:pPr>
          </w:p>
          <w:p w:rsidR="006C6F4F" w:rsidRDefault="004C0E36">
            <w:pPr>
              <w:pStyle w:val="TableParagraph"/>
              <w:ind w:right="96"/>
              <w:jc w:val="right"/>
              <w:rPr>
                <w:sz w:val="18"/>
              </w:rPr>
            </w:pPr>
            <w:r>
              <w:rPr>
                <w:sz w:val="18"/>
              </w:rPr>
              <w:t>60.000</w:t>
            </w:r>
          </w:p>
        </w:tc>
      </w:tr>
      <w:tr w:rsidR="006C6F4F">
        <w:trPr>
          <w:trHeight w:val="503"/>
        </w:trPr>
        <w:tc>
          <w:tcPr>
            <w:tcW w:w="1848" w:type="dxa"/>
          </w:tcPr>
          <w:p w:rsidR="006C6F4F" w:rsidRDefault="004C0E36">
            <w:pPr>
              <w:pStyle w:val="TableParagraph"/>
              <w:spacing w:before="143"/>
              <w:ind w:left="107"/>
              <w:rPr>
                <w:b/>
                <w:sz w:val="18"/>
              </w:rPr>
            </w:pPr>
            <w:r>
              <w:rPr>
                <w:b/>
                <w:sz w:val="18"/>
              </w:rPr>
              <w:t>26.301.313A.483</w:t>
            </w:r>
          </w:p>
        </w:tc>
        <w:tc>
          <w:tcPr>
            <w:tcW w:w="557" w:type="dxa"/>
          </w:tcPr>
          <w:p w:rsidR="006C6F4F" w:rsidRDefault="004C0E36">
            <w:pPr>
              <w:pStyle w:val="TableParagraph"/>
              <w:spacing w:before="143"/>
              <w:ind w:left="227"/>
              <w:rPr>
                <w:b/>
                <w:sz w:val="18"/>
              </w:rPr>
            </w:pPr>
            <w:r>
              <w:rPr>
                <w:b/>
                <w:w w:val="99"/>
                <w:sz w:val="18"/>
              </w:rPr>
              <w:t>5</w:t>
            </w:r>
          </w:p>
        </w:tc>
        <w:tc>
          <w:tcPr>
            <w:tcW w:w="5528" w:type="dxa"/>
          </w:tcPr>
          <w:p w:rsidR="006C6F4F" w:rsidRDefault="004C0E36">
            <w:pPr>
              <w:pStyle w:val="TableParagraph"/>
              <w:spacing w:before="147"/>
              <w:ind w:left="108"/>
              <w:rPr>
                <w:sz w:val="18"/>
              </w:rPr>
            </w:pPr>
            <w:r>
              <w:rPr>
                <w:sz w:val="18"/>
              </w:rPr>
              <w:t>Premios Plan Nacional de Resistencia a los Antibióticos.</w:t>
            </w:r>
          </w:p>
        </w:tc>
        <w:tc>
          <w:tcPr>
            <w:tcW w:w="1675" w:type="dxa"/>
          </w:tcPr>
          <w:p w:rsidR="006C6F4F" w:rsidRDefault="004C0E36">
            <w:pPr>
              <w:pStyle w:val="TableParagraph"/>
              <w:spacing w:before="147"/>
              <w:ind w:right="96"/>
              <w:jc w:val="right"/>
              <w:rPr>
                <w:sz w:val="18"/>
              </w:rPr>
            </w:pPr>
            <w:r>
              <w:rPr>
                <w:sz w:val="18"/>
              </w:rPr>
              <w:t>15.000</w:t>
            </w:r>
          </w:p>
        </w:tc>
      </w:tr>
      <w:tr w:rsidR="006C6F4F">
        <w:trPr>
          <w:trHeight w:val="827"/>
        </w:trPr>
        <w:tc>
          <w:tcPr>
            <w:tcW w:w="1848" w:type="dxa"/>
          </w:tcPr>
          <w:p w:rsidR="006C6F4F" w:rsidRDefault="006C6F4F">
            <w:pPr>
              <w:pStyle w:val="TableParagraph"/>
              <w:spacing w:before="4"/>
              <w:rPr>
                <w:sz w:val="26"/>
              </w:rPr>
            </w:pPr>
          </w:p>
          <w:p w:rsidR="006C6F4F" w:rsidRDefault="004C0E36">
            <w:pPr>
              <w:pStyle w:val="TableParagraph"/>
              <w:ind w:left="107"/>
              <w:rPr>
                <w:b/>
                <w:sz w:val="18"/>
              </w:rPr>
            </w:pPr>
            <w:r>
              <w:rPr>
                <w:b/>
                <w:sz w:val="18"/>
              </w:rPr>
              <w:t>26.301.313A.486.01</w:t>
            </w:r>
          </w:p>
        </w:tc>
        <w:tc>
          <w:tcPr>
            <w:tcW w:w="557" w:type="dxa"/>
          </w:tcPr>
          <w:p w:rsidR="006C6F4F" w:rsidRDefault="006C6F4F">
            <w:pPr>
              <w:pStyle w:val="TableParagraph"/>
              <w:spacing w:before="4"/>
              <w:rPr>
                <w:sz w:val="26"/>
              </w:rPr>
            </w:pPr>
          </w:p>
          <w:p w:rsidR="006C6F4F" w:rsidRDefault="004C0E36">
            <w:pPr>
              <w:pStyle w:val="TableParagraph"/>
              <w:ind w:left="227"/>
              <w:rPr>
                <w:b/>
                <w:sz w:val="18"/>
              </w:rPr>
            </w:pPr>
            <w:r>
              <w:rPr>
                <w:b/>
                <w:w w:val="99"/>
                <w:sz w:val="18"/>
              </w:rPr>
              <w:t>6</w:t>
            </w:r>
          </w:p>
        </w:tc>
        <w:tc>
          <w:tcPr>
            <w:tcW w:w="5528" w:type="dxa"/>
          </w:tcPr>
          <w:p w:rsidR="006C6F4F" w:rsidRDefault="004C0E36">
            <w:pPr>
              <w:pStyle w:val="TableParagraph"/>
              <w:ind w:left="108" w:right="127"/>
              <w:rPr>
                <w:sz w:val="18"/>
              </w:rPr>
            </w:pPr>
            <w:r>
              <w:rPr>
                <w:sz w:val="18"/>
              </w:rPr>
              <w:t>A la Sociedad Española de Enfermedades Infecciosas y Microbiología Clínica (SEIMC) para la implantación de la Normativa EUCAST a través del Comité Español de Antibiograma</w:t>
            </w:r>
          </w:p>
          <w:p w:rsidR="006C6F4F" w:rsidRDefault="004C0E36">
            <w:pPr>
              <w:pStyle w:val="TableParagraph"/>
              <w:spacing w:line="187" w:lineRule="exact"/>
              <w:ind w:left="108"/>
              <w:rPr>
                <w:sz w:val="18"/>
              </w:rPr>
            </w:pPr>
            <w:r>
              <w:rPr>
                <w:sz w:val="18"/>
              </w:rPr>
              <w:t>(COESANT).</w:t>
            </w:r>
          </w:p>
        </w:tc>
        <w:tc>
          <w:tcPr>
            <w:tcW w:w="1675" w:type="dxa"/>
          </w:tcPr>
          <w:p w:rsidR="006C6F4F" w:rsidRDefault="006C6F4F">
            <w:pPr>
              <w:pStyle w:val="TableParagraph"/>
              <w:spacing w:before="9"/>
              <w:rPr>
                <w:sz w:val="26"/>
              </w:rPr>
            </w:pPr>
          </w:p>
          <w:p w:rsidR="006C6F4F" w:rsidRDefault="004C0E36">
            <w:pPr>
              <w:pStyle w:val="TableParagraph"/>
              <w:ind w:right="96"/>
              <w:jc w:val="right"/>
              <w:rPr>
                <w:sz w:val="18"/>
              </w:rPr>
            </w:pPr>
            <w:r>
              <w:rPr>
                <w:sz w:val="18"/>
              </w:rPr>
              <w:t>50.000</w:t>
            </w:r>
          </w:p>
        </w:tc>
      </w:tr>
      <w:tr w:rsidR="006C6F4F">
        <w:trPr>
          <w:trHeight w:val="698"/>
        </w:trPr>
        <w:tc>
          <w:tcPr>
            <w:tcW w:w="1848" w:type="dxa"/>
          </w:tcPr>
          <w:p w:rsidR="006C6F4F" w:rsidRDefault="006C6F4F">
            <w:pPr>
              <w:pStyle w:val="TableParagraph"/>
              <w:spacing w:before="8"/>
              <w:rPr>
                <w:sz w:val="20"/>
              </w:rPr>
            </w:pPr>
          </w:p>
          <w:p w:rsidR="006C6F4F" w:rsidRDefault="004C0E36">
            <w:pPr>
              <w:pStyle w:val="TableParagraph"/>
              <w:spacing w:before="1"/>
              <w:ind w:left="107"/>
              <w:rPr>
                <w:b/>
                <w:sz w:val="18"/>
              </w:rPr>
            </w:pPr>
            <w:r>
              <w:rPr>
                <w:b/>
                <w:sz w:val="18"/>
              </w:rPr>
              <w:t>26.301.313A.486.03</w:t>
            </w:r>
          </w:p>
        </w:tc>
        <w:tc>
          <w:tcPr>
            <w:tcW w:w="557" w:type="dxa"/>
          </w:tcPr>
          <w:p w:rsidR="006C6F4F" w:rsidRDefault="006C6F4F">
            <w:pPr>
              <w:pStyle w:val="TableParagraph"/>
              <w:spacing w:before="8"/>
              <w:rPr>
                <w:sz w:val="20"/>
              </w:rPr>
            </w:pPr>
          </w:p>
          <w:p w:rsidR="006C6F4F" w:rsidRDefault="004C0E36">
            <w:pPr>
              <w:pStyle w:val="TableParagraph"/>
              <w:spacing w:before="1"/>
              <w:ind w:left="227"/>
              <w:rPr>
                <w:b/>
                <w:sz w:val="18"/>
              </w:rPr>
            </w:pPr>
            <w:r>
              <w:rPr>
                <w:b/>
                <w:w w:val="99"/>
                <w:sz w:val="18"/>
              </w:rPr>
              <w:t>7</w:t>
            </w:r>
          </w:p>
        </w:tc>
        <w:tc>
          <w:tcPr>
            <w:tcW w:w="5528" w:type="dxa"/>
          </w:tcPr>
          <w:p w:rsidR="006C6F4F" w:rsidRDefault="004C0E36">
            <w:pPr>
              <w:pStyle w:val="TableParagraph"/>
              <w:spacing w:before="37"/>
              <w:ind w:left="108" w:right="178"/>
              <w:jc w:val="both"/>
              <w:rPr>
                <w:sz w:val="18"/>
              </w:rPr>
            </w:pPr>
            <w:r>
              <w:rPr>
                <w:sz w:val="18"/>
              </w:rPr>
              <w:t>A la Sociedad Española de Medicina Intensiva, crítica y</w:t>
            </w:r>
            <w:r>
              <w:rPr>
                <w:spacing w:val="-30"/>
                <w:sz w:val="18"/>
              </w:rPr>
              <w:t xml:space="preserve"> </w:t>
            </w:r>
            <w:r>
              <w:rPr>
                <w:sz w:val="18"/>
              </w:rPr>
              <w:t>Unidades Coronarias (SEMICYUC) para el establecimiento de proyectos</w:t>
            </w:r>
            <w:r>
              <w:rPr>
                <w:spacing w:val="-23"/>
                <w:sz w:val="18"/>
              </w:rPr>
              <w:t xml:space="preserve"> </w:t>
            </w:r>
            <w:r>
              <w:rPr>
                <w:sz w:val="18"/>
              </w:rPr>
              <w:t xml:space="preserve">de seguridad del paciente "tolerancia </w:t>
            </w:r>
            <w:proofErr w:type="spellStart"/>
            <w:r>
              <w:rPr>
                <w:sz w:val="18"/>
              </w:rPr>
              <w:t>zero</w:t>
            </w:r>
            <w:proofErr w:type="spellEnd"/>
            <w:r>
              <w:rPr>
                <w:sz w:val="18"/>
              </w:rPr>
              <w:t>" en pacientes</w:t>
            </w:r>
            <w:r>
              <w:rPr>
                <w:spacing w:val="-13"/>
                <w:sz w:val="18"/>
              </w:rPr>
              <w:t xml:space="preserve"> </w:t>
            </w:r>
            <w:r>
              <w:rPr>
                <w:sz w:val="18"/>
              </w:rPr>
              <w:t>críticos.</w:t>
            </w:r>
          </w:p>
        </w:tc>
        <w:tc>
          <w:tcPr>
            <w:tcW w:w="1675" w:type="dxa"/>
          </w:tcPr>
          <w:p w:rsidR="006C6F4F" w:rsidRDefault="006C6F4F">
            <w:pPr>
              <w:pStyle w:val="TableParagraph"/>
              <w:spacing w:before="2"/>
              <w:rPr>
                <w:sz w:val="21"/>
              </w:rPr>
            </w:pPr>
          </w:p>
          <w:p w:rsidR="006C6F4F" w:rsidRDefault="004C0E36">
            <w:pPr>
              <w:pStyle w:val="TableParagraph"/>
              <w:ind w:right="96"/>
              <w:jc w:val="right"/>
              <w:rPr>
                <w:sz w:val="18"/>
              </w:rPr>
            </w:pPr>
            <w:r>
              <w:rPr>
                <w:sz w:val="18"/>
              </w:rPr>
              <w:t>50.000</w:t>
            </w:r>
          </w:p>
        </w:tc>
      </w:tr>
      <w:tr w:rsidR="006C6F4F">
        <w:trPr>
          <w:trHeight w:val="503"/>
        </w:trPr>
        <w:tc>
          <w:tcPr>
            <w:tcW w:w="1848" w:type="dxa"/>
          </w:tcPr>
          <w:p w:rsidR="006C6F4F" w:rsidRDefault="004C0E36">
            <w:pPr>
              <w:pStyle w:val="TableParagraph"/>
              <w:spacing w:before="143"/>
              <w:ind w:left="107"/>
              <w:rPr>
                <w:b/>
                <w:sz w:val="18"/>
              </w:rPr>
            </w:pPr>
            <w:r>
              <w:rPr>
                <w:b/>
                <w:sz w:val="18"/>
              </w:rPr>
              <w:t>26.301.313A.486.05</w:t>
            </w:r>
          </w:p>
        </w:tc>
        <w:tc>
          <w:tcPr>
            <w:tcW w:w="557" w:type="dxa"/>
          </w:tcPr>
          <w:p w:rsidR="006C6F4F" w:rsidRDefault="004C0E36">
            <w:pPr>
              <w:pStyle w:val="TableParagraph"/>
              <w:spacing w:before="143"/>
              <w:ind w:left="227"/>
              <w:rPr>
                <w:b/>
                <w:sz w:val="18"/>
              </w:rPr>
            </w:pPr>
            <w:r>
              <w:rPr>
                <w:b/>
                <w:w w:val="99"/>
                <w:sz w:val="18"/>
              </w:rPr>
              <w:t>8</w:t>
            </w:r>
          </w:p>
        </w:tc>
        <w:tc>
          <w:tcPr>
            <w:tcW w:w="5528" w:type="dxa"/>
          </w:tcPr>
          <w:p w:rsidR="006C6F4F" w:rsidRDefault="004C0E36">
            <w:pPr>
              <w:pStyle w:val="TableParagraph"/>
              <w:spacing w:before="44"/>
              <w:ind w:left="108" w:right="797"/>
              <w:rPr>
                <w:sz w:val="18"/>
              </w:rPr>
            </w:pPr>
            <w:r>
              <w:rPr>
                <w:sz w:val="18"/>
              </w:rPr>
              <w:t xml:space="preserve">Contribución para el mantenimiento de consorcio español </w:t>
            </w:r>
            <w:proofErr w:type="spellStart"/>
            <w:r>
              <w:rPr>
                <w:sz w:val="18"/>
              </w:rPr>
              <w:t>PIELenRed</w:t>
            </w:r>
            <w:proofErr w:type="spellEnd"/>
            <w:r>
              <w:rPr>
                <w:sz w:val="18"/>
              </w:rPr>
              <w:t>.</w:t>
            </w:r>
          </w:p>
        </w:tc>
        <w:tc>
          <w:tcPr>
            <w:tcW w:w="1675" w:type="dxa"/>
          </w:tcPr>
          <w:p w:rsidR="006C6F4F" w:rsidRDefault="004C0E36">
            <w:pPr>
              <w:pStyle w:val="TableParagraph"/>
              <w:spacing w:before="147"/>
              <w:ind w:right="96"/>
              <w:jc w:val="right"/>
              <w:rPr>
                <w:sz w:val="18"/>
              </w:rPr>
            </w:pPr>
            <w:r>
              <w:rPr>
                <w:sz w:val="18"/>
              </w:rPr>
              <w:t>50.000</w:t>
            </w:r>
          </w:p>
        </w:tc>
      </w:tr>
      <w:tr w:rsidR="006C6F4F">
        <w:trPr>
          <w:trHeight w:val="503"/>
        </w:trPr>
        <w:tc>
          <w:tcPr>
            <w:tcW w:w="1848" w:type="dxa"/>
          </w:tcPr>
          <w:p w:rsidR="006C6F4F" w:rsidRDefault="004C0E36">
            <w:pPr>
              <w:pStyle w:val="TableParagraph"/>
              <w:spacing w:before="143"/>
              <w:ind w:left="107"/>
              <w:rPr>
                <w:b/>
                <w:sz w:val="18"/>
              </w:rPr>
            </w:pPr>
            <w:r>
              <w:rPr>
                <w:b/>
                <w:sz w:val="18"/>
              </w:rPr>
              <w:t>26.301.313A.486.06</w:t>
            </w:r>
          </w:p>
        </w:tc>
        <w:tc>
          <w:tcPr>
            <w:tcW w:w="557" w:type="dxa"/>
          </w:tcPr>
          <w:p w:rsidR="006C6F4F" w:rsidRDefault="004C0E36">
            <w:pPr>
              <w:pStyle w:val="TableParagraph"/>
              <w:spacing w:before="143"/>
              <w:ind w:left="227"/>
              <w:rPr>
                <w:b/>
                <w:sz w:val="18"/>
              </w:rPr>
            </w:pPr>
            <w:r>
              <w:rPr>
                <w:b/>
                <w:w w:val="99"/>
                <w:sz w:val="18"/>
              </w:rPr>
              <w:t>9</w:t>
            </w:r>
          </w:p>
        </w:tc>
        <w:tc>
          <w:tcPr>
            <w:tcW w:w="5528" w:type="dxa"/>
          </w:tcPr>
          <w:p w:rsidR="006C6F4F" w:rsidRDefault="004C0E36">
            <w:pPr>
              <w:pStyle w:val="TableParagraph"/>
              <w:spacing w:before="148"/>
              <w:ind w:left="108"/>
              <w:rPr>
                <w:sz w:val="18"/>
              </w:rPr>
            </w:pPr>
            <w:r>
              <w:rPr>
                <w:sz w:val="18"/>
              </w:rPr>
              <w:t>Contribución para el mantenimiento del Registro BIOBADASER</w:t>
            </w:r>
          </w:p>
        </w:tc>
        <w:tc>
          <w:tcPr>
            <w:tcW w:w="1675" w:type="dxa"/>
          </w:tcPr>
          <w:p w:rsidR="006C6F4F" w:rsidRDefault="004C0E36">
            <w:pPr>
              <w:pStyle w:val="TableParagraph"/>
              <w:spacing w:before="148"/>
              <w:ind w:right="96"/>
              <w:jc w:val="right"/>
              <w:rPr>
                <w:sz w:val="18"/>
              </w:rPr>
            </w:pPr>
            <w:r>
              <w:rPr>
                <w:sz w:val="18"/>
              </w:rPr>
              <w:t>26.000</w:t>
            </w:r>
          </w:p>
        </w:tc>
      </w:tr>
      <w:tr w:rsidR="006C6F4F">
        <w:trPr>
          <w:trHeight w:val="503"/>
        </w:trPr>
        <w:tc>
          <w:tcPr>
            <w:tcW w:w="1848" w:type="dxa"/>
          </w:tcPr>
          <w:p w:rsidR="006C6F4F" w:rsidRDefault="004C0E36">
            <w:pPr>
              <w:pStyle w:val="TableParagraph"/>
              <w:spacing w:before="143"/>
              <w:ind w:left="107"/>
              <w:rPr>
                <w:b/>
                <w:sz w:val="18"/>
              </w:rPr>
            </w:pPr>
            <w:r>
              <w:rPr>
                <w:b/>
                <w:sz w:val="18"/>
              </w:rPr>
              <w:t>26.301.313A.486.07</w:t>
            </w:r>
          </w:p>
        </w:tc>
        <w:tc>
          <w:tcPr>
            <w:tcW w:w="557" w:type="dxa"/>
          </w:tcPr>
          <w:p w:rsidR="006C6F4F" w:rsidRDefault="004C0E36">
            <w:pPr>
              <w:pStyle w:val="TableParagraph"/>
              <w:spacing w:before="143"/>
              <w:ind w:left="177"/>
              <w:rPr>
                <w:b/>
                <w:sz w:val="18"/>
              </w:rPr>
            </w:pPr>
            <w:r>
              <w:rPr>
                <w:b/>
                <w:sz w:val="18"/>
              </w:rPr>
              <w:t>10</w:t>
            </w:r>
          </w:p>
        </w:tc>
        <w:tc>
          <w:tcPr>
            <w:tcW w:w="5528" w:type="dxa"/>
          </w:tcPr>
          <w:p w:rsidR="006C6F4F" w:rsidRDefault="004C0E36">
            <w:pPr>
              <w:pStyle w:val="TableParagraph"/>
              <w:spacing w:before="147"/>
              <w:ind w:left="108"/>
              <w:rPr>
                <w:sz w:val="18"/>
              </w:rPr>
            </w:pPr>
            <w:r>
              <w:rPr>
                <w:sz w:val="18"/>
              </w:rPr>
              <w:t>Contribución para el mantenimiento del Registro BIOBADADERM</w:t>
            </w:r>
          </w:p>
        </w:tc>
        <w:tc>
          <w:tcPr>
            <w:tcW w:w="1675" w:type="dxa"/>
          </w:tcPr>
          <w:p w:rsidR="006C6F4F" w:rsidRDefault="004C0E36">
            <w:pPr>
              <w:pStyle w:val="TableParagraph"/>
              <w:spacing w:before="147"/>
              <w:ind w:right="96"/>
              <w:jc w:val="right"/>
              <w:rPr>
                <w:sz w:val="18"/>
              </w:rPr>
            </w:pPr>
            <w:r>
              <w:rPr>
                <w:sz w:val="18"/>
              </w:rPr>
              <w:t>26.000</w:t>
            </w:r>
          </w:p>
        </w:tc>
      </w:tr>
      <w:tr w:rsidR="006C6F4F">
        <w:trPr>
          <w:trHeight w:val="505"/>
        </w:trPr>
        <w:tc>
          <w:tcPr>
            <w:tcW w:w="1848" w:type="dxa"/>
          </w:tcPr>
          <w:p w:rsidR="006C6F4F" w:rsidRDefault="004C0E36">
            <w:pPr>
              <w:pStyle w:val="TableParagraph"/>
              <w:spacing w:before="143"/>
              <w:ind w:left="107"/>
              <w:rPr>
                <w:b/>
                <w:sz w:val="18"/>
              </w:rPr>
            </w:pPr>
            <w:r>
              <w:rPr>
                <w:b/>
                <w:sz w:val="18"/>
              </w:rPr>
              <w:t>26.301.313A.486.08</w:t>
            </w:r>
          </w:p>
        </w:tc>
        <w:tc>
          <w:tcPr>
            <w:tcW w:w="557" w:type="dxa"/>
          </w:tcPr>
          <w:p w:rsidR="006C6F4F" w:rsidRDefault="004C0E36">
            <w:pPr>
              <w:pStyle w:val="TableParagraph"/>
              <w:spacing w:before="143"/>
              <w:ind w:left="177"/>
              <w:rPr>
                <w:b/>
                <w:sz w:val="18"/>
              </w:rPr>
            </w:pPr>
            <w:r>
              <w:rPr>
                <w:b/>
                <w:sz w:val="18"/>
              </w:rPr>
              <w:t>11</w:t>
            </w:r>
          </w:p>
        </w:tc>
        <w:tc>
          <w:tcPr>
            <w:tcW w:w="5528" w:type="dxa"/>
          </w:tcPr>
          <w:p w:rsidR="006C6F4F" w:rsidRDefault="004C0E36">
            <w:pPr>
              <w:pStyle w:val="TableParagraph"/>
              <w:spacing w:before="44"/>
              <w:ind w:left="108" w:right="127"/>
              <w:rPr>
                <w:sz w:val="18"/>
              </w:rPr>
            </w:pPr>
            <w:r>
              <w:rPr>
                <w:sz w:val="18"/>
              </w:rPr>
              <w:t>Subvención a la Sociedad Española de Farmacia Hospitalaria (SEFH)</w:t>
            </w:r>
          </w:p>
        </w:tc>
        <w:tc>
          <w:tcPr>
            <w:tcW w:w="1675" w:type="dxa"/>
          </w:tcPr>
          <w:p w:rsidR="006C6F4F" w:rsidRDefault="004C0E36">
            <w:pPr>
              <w:pStyle w:val="TableParagraph"/>
              <w:spacing w:before="147"/>
              <w:ind w:right="96"/>
              <w:jc w:val="right"/>
              <w:rPr>
                <w:sz w:val="18"/>
              </w:rPr>
            </w:pPr>
            <w:r>
              <w:rPr>
                <w:sz w:val="18"/>
              </w:rPr>
              <w:t>30.000</w:t>
            </w:r>
          </w:p>
        </w:tc>
      </w:tr>
      <w:tr w:rsidR="006C6F4F">
        <w:trPr>
          <w:trHeight w:val="395"/>
        </w:trPr>
        <w:tc>
          <w:tcPr>
            <w:tcW w:w="2405" w:type="dxa"/>
            <w:gridSpan w:val="2"/>
            <w:tcBorders>
              <w:left w:val="nil"/>
            </w:tcBorders>
          </w:tcPr>
          <w:p w:rsidR="006C6F4F" w:rsidRDefault="006C6F4F">
            <w:pPr>
              <w:pStyle w:val="TableParagraph"/>
              <w:rPr>
                <w:rFonts w:ascii="Times New Roman"/>
                <w:sz w:val="18"/>
              </w:rPr>
            </w:pPr>
          </w:p>
        </w:tc>
        <w:tc>
          <w:tcPr>
            <w:tcW w:w="5528" w:type="dxa"/>
            <w:shd w:val="clear" w:color="auto" w:fill="B8CCE3"/>
          </w:tcPr>
          <w:p w:rsidR="006C6F4F" w:rsidRDefault="004C0E36">
            <w:pPr>
              <w:pStyle w:val="TableParagraph"/>
              <w:spacing w:before="67"/>
              <w:ind w:right="94"/>
              <w:jc w:val="right"/>
              <w:rPr>
                <w:b/>
              </w:rPr>
            </w:pPr>
            <w:r>
              <w:rPr>
                <w:b/>
              </w:rPr>
              <w:t>TOTAL………………………………</w:t>
            </w:r>
          </w:p>
        </w:tc>
        <w:tc>
          <w:tcPr>
            <w:tcW w:w="1675" w:type="dxa"/>
            <w:shd w:val="clear" w:color="auto" w:fill="B8CCE3"/>
          </w:tcPr>
          <w:p w:rsidR="006C6F4F" w:rsidRDefault="004C0E36">
            <w:pPr>
              <w:pStyle w:val="TableParagraph"/>
              <w:spacing w:before="67"/>
              <w:ind w:right="95"/>
              <w:jc w:val="right"/>
              <w:rPr>
                <w:b/>
              </w:rPr>
            </w:pPr>
            <w:r>
              <w:rPr>
                <w:b/>
              </w:rPr>
              <w:t>1.249.000</w:t>
            </w:r>
          </w:p>
        </w:tc>
      </w:tr>
      <w:tr w:rsidR="006C6F4F">
        <w:trPr>
          <w:trHeight w:val="503"/>
        </w:trPr>
        <w:tc>
          <w:tcPr>
            <w:tcW w:w="9608" w:type="dxa"/>
            <w:gridSpan w:val="4"/>
            <w:shd w:val="clear" w:color="auto" w:fill="FAD3B4"/>
          </w:tcPr>
          <w:p w:rsidR="006C6F4F" w:rsidRDefault="004C0E36">
            <w:pPr>
              <w:pStyle w:val="TableParagraph"/>
              <w:spacing w:before="39"/>
              <w:ind w:left="2729" w:hanging="2022"/>
              <w:rPr>
                <w:b/>
                <w:sz w:val="18"/>
              </w:rPr>
            </w:pPr>
            <w:r>
              <w:rPr>
                <w:b/>
                <w:sz w:val="18"/>
              </w:rPr>
              <w:t>APLICACIONES EXCEPCIONADAS POR EL ARTICULO 2.4.C DEL REGLAMENTO DE LA LEY DE SUBVENCIONES (CUOTAS INTERNACIONALES)</w:t>
            </w:r>
          </w:p>
        </w:tc>
      </w:tr>
      <w:tr w:rsidR="006C6F4F">
        <w:trPr>
          <w:trHeight w:val="503"/>
        </w:trPr>
        <w:tc>
          <w:tcPr>
            <w:tcW w:w="1848" w:type="dxa"/>
          </w:tcPr>
          <w:p w:rsidR="006C6F4F" w:rsidRDefault="004C0E36">
            <w:pPr>
              <w:pStyle w:val="TableParagraph"/>
              <w:spacing w:before="143"/>
              <w:ind w:left="107"/>
              <w:rPr>
                <w:b/>
                <w:sz w:val="18"/>
              </w:rPr>
            </w:pPr>
            <w:r>
              <w:rPr>
                <w:b/>
                <w:sz w:val="18"/>
              </w:rPr>
              <w:t>26.301.313A.492</w:t>
            </w:r>
          </w:p>
        </w:tc>
        <w:tc>
          <w:tcPr>
            <w:tcW w:w="557" w:type="dxa"/>
          </w:tcPr>
          <w:p w:rsidR="006C6F4F" w:rsidRDefault="004C0E36">
            <w:pPr>
              <w:pStyle w:val="TableParagraph"/>
              <w:spacing w:before="143"/>
              <w:ind w:left="177"/>
              <w:rPr>
                <w:b/>
                <w:sz w:val="18"/>
              </w:rPr>
            </w:pPr>
            <w:r>
              <w:rPr>
                <w:b/>
                <w:sz w:val="18"/>
              </w:rPr>
              <w:t>12</w:t>
            </w:r>
          </w:p>
        </w:tc>
        <w:tc>
          <w:tcPr>
            <w:tcW w:w="5528" w:type="dxa"/>
          </w:tcPr>
          <w:p w:rsidR="006C6F4F" w:rsidRDefault="004C0E36">
            <w:pPr>
              <w:pStyle w:val="TableParagraph"/>
              <w:spacing w:before="147"/>
              <w:ind w:left="158"/>
              <w:rPr>
                <w:sz w:val="18"/>
              </w:rPr>
            </w:pPr>
            <w:r>
              <w:rPr>
                <w:sz w:val="18"/>
              </w:rPr>
              <w:t>“</w:t>
            </w:r>
            <w:proofErr w:type="spellStart"/>
            <w:r>
              <w:rPr>
                <w:sz w:val="18"/>
              </w:rPr>
              <w:t>Pharmaceutical</w:t>
            </w:r>
            <w:proofErr w:type="spellEnd"/>
            <w:r>
              <w:rPr>
                <w:sz w:val="18"/>
              </w:rPr>
              <w:t xml:space="preserve"> </w:t>
            </w:r>
            <w:proofErr w:type="spellStart"/>
            <w:r>
              <w:rPr>
                <w:sz w:val="18"/>
              </w:rPr>
              <w:t>Inspection</w:t>
            </w:r>
            <w:proofErr w:type="spellEnd"/>
            <w:r>
              <w:rPr>
                <w:sz w:val="18"/>
              </w:rPr>
              <w:t xml:space="preserve"> </w:t>
            </w:r>
            <w:proofErr w:type="spellStart"/>
            <w:r>
              <w:rPr>
                <w:sz w:val="18"/>
              </w:rPr>
              <w:t>Convention</w:t>
            </w:r>
            <w:proofErr w:type="spellEnd"/>
            <w:r>
              <w:rPr>
                <w:sz w:val="18"/>
              </w:rPr>
              <w:t>”.</w:t>
            </w:r>
          </w:p>
        </w:tc>
        <w:tc>
          <w:tcPr>
            <w:tcW w:w="1675" w:type="dxa"/>
          </w:tcPr>
          <w:p w:rsidR="006C6F4F" w:rsidRDefault="004C0E36">
            <w:pPr>
              <w:pStyle w:val="TableParagraph"/>
              <w:spacing w:before="147"/>
              <w:ind w:right="96"/>
              <w:jc w:val="right"/>
              <w:rPr>
                <w:sz w:val="18"/>
              </w:rPr>
            </w:pPr>
            <w:r>
              <w:rPr>
                <w:sz w:val="18"/>
              </w:rPr>
              <w:t>10.000</w:t>
            </w:r>
          </w:p>
        </w:tc>
      </w:tr>
      <w:tr w:rsidR="006C6F4F">
        <w:trPr>
          <w:trHeight w:val="986"/>
        </w:trPr>
        <w:tc>
          <w:tcPr>
            <w:tcW w:w="1848" w:type="dxa"/>
          </w:tcPr>
          <w:p w:rsidR="006C6F4F" w:rsidRDefault="006C6F4F">
            <w:pPr>
              <w:pStyle w:val="TableParagraph"/>
              <w:rPr>
                <w:sz w:val="20"/>
              </w:rPr>
            </w:pPr>
          </w:p>
          <w:p w:rsidR="006C6F4F" w:rsidRDefault="004C0E36">
            <w:pPr>
              <w:pStyle w:val="TableParagraph"/>
              <w:spacing w:before="155"/>
              <w:ind w:left="107"/>
              <w:rPr>
                <w:b/>
                <w:sz w:val="18"/>
              </w:rPr>
            </w:pPr>
            <w:r>
              <w:rPr>
                <w:b/>
                <w:sz w:val="18"/>
              </w:rPr>
              <w:t>26.301.313A.494</w:t>
            </w:r>
          </w:p>
        </w:tc>
        <w:tc>
          <w:tcPr>
            <w:tcW w:w="557" w:type="dxa"/>
          </w:tcPr>
          <w:p w:rsidR="006C6F4F" w:rsidRDefault="006C6F4F">
            <w:pPr>
              <w:pStyle w:val="TableParagraph"/>
              <w:rPr>
                <w:sz w:val="20"/>
              </w:rPr>
            </w:pPr>
          </w:p>
          <w:p w:rsidR="006C6F4F" w:rsidRDefault="004C0E36">
            <w:pPr>
              <w:pStyle w:val="TableParagraph"/>
              <w:spacing w:before="155"/>
              <w:ind w:left="177"/>
              <w:rPr>
                <w:b/>
                <w:sz w:val="18"/>
              </w:rPr>
            </w:pPr>
            <w:r>
              <w:rPr>
                <w:b/>
                <w:sz w:val="18"/>
              </w:rPr>
              <w:t>13</w:t>
            </w:r>
          </w:p>
        </w:tc>
        <w:tc>
          <w:tcPr>
            <w:tcW w:w="5528" w:type="dxa"/>
          </w:tcPr>
          <w:p w:rsidR="006C6F4F" w:rsidRDefault="004C0E36">
            <w:pPr>
              <w:pStyle w:val="TableParagraph"/>
              <w:spacing w:before="78"/>
              <w:ind w:left="108"/>
              <w:jc w:val="both"/>
              <w:rPr>
                <w:sz w:val="18"/>
              </w:rPr>
            </w:pPr>
            <w:r>
              <w:rPr>
                <w:sz w:val="18"/>
              </w:rPr>
              <w:t xml:space="preserve">"Contribución al Federal </w:t>
            </w:r>
            <w:proofErr w:type="spellStart"/>
            <w:r>
              <w:rPr>
                <w:sz w:val="18"/>
              </w:rPr>
              <w:t>Institute</w:t>
            </w:r>
            <w:proofErr w:type="spellEnd"/>
            <w:r>
              <w:rPr>
                <w:sz w:val="18"/>
              </w:rPr>
              <w:t xml:space="preserve"> </w:t>
            </w:r>
            <w:proofErr w:type="spellStart"/>
            <w:r>
              <w:rPr>
                <w:sz w:val="18"/>
              </w:rPr>
              <w:t>for</w:t>
            </w:r>
            <w:proofErr w:type="spellEnd"/>
            <w:r>
              <w:rPr>
                <w:sz w:val="18"/>
              </w:rPr>
              <w:t xml:space="preserve"> </w:t>
            </w:r>
            <w:proofErr w:type="spellStart"/>
            <w:r>
              <w:rPr>
                <w:sz w:val="18"/>
              </w:rPr>
              <w:t>Drugs</w:t>
            </w:r>
            <w:proofErr w:type="spellEnd"/>
            <w:r>
              <w:rPr>
                <w:sz w:val="18"/>
              </w:rPr>
              <w:t xml:space="preserve"> and medical </w:t>
            </w:r>
            <w:proofErr w:type="spellStart"/>
            <w:r>
              <w:rPr>
                <w:sz w:val="18"/>
              </w:rPr>
              <w:t>devices</w:t>
            </w:r>
            <w:proofErr w:type="spellEnd"/>
          </w:p>
          <w:p w:rsidR="006C6F4F" w:rsidRDefault="004C0E36">
            <w:pPr>
              <w:pStyle w:val="TableParagraph"/>
              <w:spacing w:before="2"/>
              <w:ind w:left="108" w:right="289"/>
              <w:jc w:val="both"/>
              <w:rPr>
                <w:sz w:val="18"/>
              </w:rPr>
            </w:pPr>
            <w:r>
              <w:rPr>
                <w:sz w:val="18"/>
              </w:rPr>
              <w:t>/</w:t>
            </w:r>
            <w:proofErr w:type="spellStart"/>
            <w:r>
              <w:rPr>
                <w:sz w:val="18"/>
              </w:rPr>
              <w:t>Bfarm</w:t>
            </w:r>
            <w:proofErr w:type="spellEnd"/>
            <w:r>
              <w:rPr>
                <w:sz w:val="18"/>
              </w:rPr>
              <w:t>-Alemania) para el mantenimiento de la aplicación para</w:t>
            </w:r>
            <w:r>
              <w:rPr>
                <w:spacing w:val="-30"/>
                <w:sz w:val="18"/>
              </w:rPr>
              <w:t xml:space="preserve"> </w:t>
            </w:r>
            <w:r>
              <w:rPr>
                <w:sz w:val="18"/>
              </w:rPr>
              <w:t>el reconocimiento mutuo de autorizaciones de comercialización de medicamentos (CTS) y la web de jefes de</w:t>
            </w:r>
            <w:r>
              <w:rPr>
                <w:spacing w:val="-7"/>
                <w:sz w:val="18"/>
              </w:rPr>
              <w:t xml:space="preserve"> </w:t>
            </w:r>
            <w:r>
              <w:rPr>
                <w:sz w:val="18"/>
              </w:rPr>
              <w:t>agencia".</w:t>
            </w:r>
          </w:p>
        </w:tc>
        <w:tc>
          <w:tcPr>
            <w:tcW w:w="1675" w:type="dxa"/>
          </w:tcPr>
          <w:p w:rsidR="006C6F4F" w:rsidRDefault="006C6F4F">
            <w:pPr>
              <w:pStyle w:val="TableParagraph"/>
              <w:rPr>
                <w:sz w:val="20"/>
              </w:rPr>
            </w:pPr>
          </w:p>
          <w:p w:rsidR="006C6F4F" w:rsidRDefault="004C0E36">
            <w:pPr>
              <w:pStyle w:val="TableParagraph"/>
              <w:spacing w:before="160"/>
              <w:ind w:right="96"/>
              <w:jc w:val="right"/>
              <w:rPr>
                <w:sz w:val="18"/>
              </w:rPr>
            </w:pPr>
            <w:r>
              <w:rPr>
                <w:sz w:val="18"/>
              </w:rPr>
              <w:t>25.000</w:t>
            </w:r>
          </w:p>
        </w:tc>
      </w:tr>
      <w:tr w:rsidR="006C6F4F">
        <w:trPr>
          <w:trHeight w:val="830"/>
        </w:trPr>
        <w:tc>
          <w:tcPr>
            <w:tcW w:w="1848" w:type="dxa"/>
          </w:tcPr>
          <w:p w:rsidR="006C6F4F" w:rsidRDefault="006C6F4F">
            <w:pPr>
              <w:pStyle w:val="TableParagraph"/>
              <w:spacing w:before="7"/>
              <w:rPr>
                <w:sz w:val="26"/>
              </w:rPr>
            </w:pPr>
          </w:p>
          <w:p w:rsidR="006C6F4F" w:rsidRDefault="004C0E36">
            <w:pPr>
              <w:pStyle w:val="TableParagraph"/>
              <w:ind w:left="107"/>
              <w:rPr>
                <w:b/>
                <w:sz w:val="18"/>
              </w:rPr>
            </w:pPr>
            <w:r>
              <w:rPr>
                <w:b/>
                <w:sz w:val="18"/>
              </w:rPr>
              <w:t>26.301.313A.495</w:t>
            </w:r>
          </w:p>
        </w:tc>
        <w:tc>
          <w:tcPr>
            <w:tcW w:w="557" w:type="dxa"/>
          </w:tcPr>
          <w:p w:rsidR="006C6F4F" w:rsidRDefault="006C6F4F">
            <w:pPr>
              <w:pStyle w:val="TableParagraph"/>
              <w:spacing w:before="7"/>
              <w:rPr>
                <w:sz w:val="26"/>
              </w:rPr>
            </w:pPr>
          </w:p>
          <w:p w:rsidR="006C6F4F" w:rsidRDefault="004C0E36">
            <w:pPr>
              <w:pStyle w:val="TableParagraph"/>
              <w:ind w:left="177"/>
              <w:rPr>
                <w:b/>
                <w:sz w:val="18"/>
              </w:rPr>
            </w:pPr>
            <w:r>
              <w:rPr>
                <w:b/>
                <w:sz w:val="18"/>
              </w:rPr>
              <w:t>14</w:t>
            </w:r>
          </w:p>
        </w:tc>
        <w:tc>
          <w:tcPr>
            <w:tcW w:w="5528" w:type="dxa"/>
          </w:tcPr>
          <w:p w:rsidR="006C6F4F" w:rsidRDefault="004C0E36">
            <w:pPr>
              <w:pStyle w:val="TableParagraph"/>
              <w:spacing w:before="1"/>
              <w:ind w:left="108" w:right="147" w:firstLine="50"/>
              <w:rPr>
                <w:sz w:val="18"/>
              </w:rPr>
            </w:pPr>
            <w:r>
              <w:rPr>
                <w:sz w:val="18"/>
              </w:rPr>
              <w:t xml:space="preserve">“Contribución a la </w:t>
            </w:r>
            <w:proofErr w:type="spellStart"/>
            <w:r>
              <w:rPr>
                <w:sz w:val="18"/>
              </w:rPr>
              <w:t>Health</w:t>
            </w:r>
            <w:proofErr w:type="spellEnd"/>
            <w:r>
              <w:rPr>
                <w:sz w:val="18"/>
              </w:rPr>
              <w:t xml:space="preserve"> </w:t>
            </w:r>
            <w:proofErr w:type="spellStart"/>
            <w:r>
              <w:rPr>
                <w:sz w:val="18"/>
              </w:rPr>
              <w:t>Products</w:t>
            </w:r>
            <w:proofErr w:type="spellEnd"/>
            <w:r>
              <w:rPr>
                <w:sz w:val="18"/>
              </w:rPr>
              <w:t xml:space="preserve"> </w:t>
            </w:r>
            <w:proofErr w:type="spellStart"/>
            <w:r>
              <w:rPr>
                <w:sz w:val="18"/>
              </w:rPr>
              <w:t>Authority</w:t>
            </w:r>
            <w:proofErr w:type="spellEnd"/>
            <w:r>
              <w:rPr>
                <w:sz w:val="18"/>
              </w:rPr>
              <w:t xml:space="preserve"> (HPRA-Irlanda) para el mantenimiento de la aplicación CESP (</w:t>
            </w:r>
            <w:proofErr w:type="spellStart"/>
            <w:r>
              <w:rPr>
                <w:sz w:val="18"/>
              </w:rPr>
              <w:t>Common</w:t>
            </w:r>
            <w:proofErr w:type="spellEnd"/>
            <w:r>
              <w:rPr>
                <w:sz w:val="18"/>
              </w:rPr>
              <w:t xml:space="preserve"> </w:t>
            </w:r>
            <w:proofErr w:type="spellStart"/>
            <w:r>
              <w:rPr>
                <w:sz w:val="18"/>
              </w:rPr>
              <w:t>Electronic</w:t>
            </w:r>
            <w:proofErr w:type="spellEnd"/>
            <w:r>
              <w:rPr>
                <w:sz w:val="18"/>
              </w:rPr>
              <w:t xml:space="preserve"> </w:t>
            </w:r>
            <w:proofErr w:type="spellStart"/>
            <w:r>
              <w:rPr>
                <w:sz w:val="18"/>
              </w:rPr>
              <w:t>Submission</w:t>
            </w:r>
            <w:proofErr w:type="spellEnd"/>
            <w:r>
              <w:rPr>
                <w:sz w:val="18"/>
              </w:rPr>
              <w:t xml:space="preserve"> Portal) para el procedimiento de reconocimiento</w:t>
            </w:r>
          </w:p>
          <w:p w:rsidR="006C6F4F" w:rsidRDefault="004C0E36">
            <w:pPr>
              <w:pStyle w:val="TableParagraph"/>
              <w:spacing w:line="188" w:lineRule="exact"/>
              <w:ind w:left="108"/>
              <w:rPr>
                <w:sz w:val="18"/>
              </w:rPr>
            </w:pPr>
            <w:proofErr w:type="gramStart"/>
            <w:r>
              <w:rPr>
                <w:sz w:val="18"/>
              </w:rPr>
              <w:t>mutuo</w:t>
            </w:r>
            <w:proofErr w:type="gramEnd"/>
            <w:r>
              <w:rPr>
                <w:sz w:val="18"/>
              </w:rPr>
              <w:t xml:space="preserve"> de medicamentos autorizados”.</w:t>
            </w:r>
          </w:p>
        </w:tc>
        <w:tc>
          <w:tcPr>
            <w:tcW w:w="1675" w:type="dxa"/>
          </w:tcPr>
          <w:p w:rsidR="006C6F4F" w:rsidRDefault="006C6F4F">
            <w:pPr>
              <w:pStyle w:val="TableParagraph"/>
              <w:rPr>
                <w:sz w:val="27"/>
              </w:rPr>
            </w:pPr>
          </w:p>
          <w:p w:rsidR="006C6F4F" w:rsidRDefault="004C0E36">
            <w:pPr>
              <w:pStyle w:val="TableParagraph"/>
              <w:ind w:right="96"/>
              <w:jc w:val="right"/>
              <w:rPr>
                <w:sz w:val="18"/>
              </w:rPr>
            </w:pPr>
            <w:r>
              <w:rPr>
                <w:sz w:val="18"/>
              </w:rPr>
              <w:t>40.000</w:t>
            </w:r>
          </w:p>
        </w:tc>
      </w:tr>
      <w:tr w:rsidR="006C6F4F">
        <w:trPr>
          <w:trHeight w:val="503"/>
        </w:trPr>
        <w:tc>
          <w:tcPr>
            <w:tcW w:w="1848" w:type="dxa"/>
          </w:tcPr>
          <w:p w:rsidR="006C6F4F" w:rsidRDefault="004C0E36">
            <w:pPr>
              <w:pStyle w:val="TableParagraph"/>
              <w:spacing w:before="143"/>
              <w:ind w:left="107"/>
              <w:rPr>
                <w:b/>
                <w:sz w:val="18"/>
              </w:rPr>
            </w:pPr>
            <w:r>
              <w:rPr>
                <w:b/>
                <w:sz w:val="18"/>
              </w:rPr>
              <w:t>26.301.313A.496</w:t>
            </w:r>
          </w:p>
        </w:tc>
        <w:tc>
          <w:tcPr>
            <w:tcW w:w="557" w:type="dxa"/>
          </w:tcPr>
          <w:p w:rsidR="006C6F4F" w:rsidRDefault="004C0E36">
            <w:pPr>
              <w:pStyle w:val="TableParagraph"/>
              <w:spacing w:before="143"/>
              <w:ind w:left="177"/>
              <w:rPr>
                <w:b/>
                <w:sz w:val="18"/>
              </w:rPr>
            </w:pPr>
            <w:r>
              <w:rPr>
                <w:b/>
                <w:sz w:val="18"/>
              </w:rPr>
              <w:t>15</w:t>
            </w:r>
          </w:p>
        </w:tc>
        <w:tc>
          <w:tcPr>
            <w:tcW w:w="5528" w:type="dxa"/>
          </w:tcPr>
          <w:p w:rsidR="006C6F4F" w:rsidRDefault="004C0E36">
            <w:pPr>
              <w:pStyle w:val="TableParagraph"/>
              <w:spacing w:before="147"/>
              <w:ind w:left="158"/>
              <w:rPr>
                <w:sz w:val="18"/>
              </w:rPr>
            </w:pPr>
            <w:r>
              <w:rPr>
                <w:sz w:val="18"/>
              </w:rPr>
              <w:t xml:space="preserve">“Contribución al Foro de Políticas de la HTAI </w:t>
            </w:r>
            <w:proofErr w:type="spellStart"/>
            <w:r>
              <w:rPr>
                <w:sz w:val="18"/>
              </w:rPr>
              <w:t>Policy</w:t>
            </w:r>
            <w:proofErr w:type="spellEnd"/>
            <w:r>
              <w:rPr>
                <w:sz w:val="18"/>
              </w:rPr>
              <w:t xml:space="preserve"> </w:t>
            </w:r>
            <w:proofErr w:type="spellStart"/>
            <w:r>
              <w:rPr>
                <w:sz w:val="18"/>
              </w:rPr>
              <w:t>Forum</w:t>
            </w:r>
            <w:proofErr w:type="spellEnd"/>
            <w:r>
              <w:rPr>
                <w:sz w:val="18"/>
              </w:rPr>
              <w:t>”.</w:t>
            </w:r>
          </w:p>
        </w:tc>
        <w:tc>
          <w:tcPr>
            <w:tcW w:w="1675" w:type="dxa"/>
          </w:tcPr>
          <w:p w:rsidR="006C6F4F" w:rsidRDefault="004C0E36">
            <w:pPr>
              <w:pStyle w:val="TableParagraph"/>
              <w:spacing w:before="147"/>
              <w:ind w:right="96"/>
              <w:jc w:val="right"/>
              <w:rPr>
                <w:sz w:val="18"/>
              </w:rPr>
            </w:pPr>
            <w:r>
              <w:rPr>
                <w:w w:val="95"/>
                <w:sz w:val="18"/>
              </w:rPr>
              <w:t>7.000</w:t>
            </w:r>
          </w:p>
        </w:tc>
      </w:tr>
      <w:tr w:rsidR="006C6F4F">
        <w:trPr>
          <w:trHeight w:val="503"/>
        </w:trPr>
        <w:tc>
          <w:tcPr>
            <w:tcW w:w="1848" w:type="dxa"/>
          </w:tcPr>
          <w:p w:rsidR="006C6F4F" w:rsidRDefault="004C0E36">
            <w:pPr>
              <w:pStyle w:val="TableParagraph"/>
              <w:spacing w:before="143"/>
              <w:ind w:left="107"/>
              <w:rPr>
                <w:b/>
                <w:sz w:val="18"/>
              </w:rPr>
            </w:pPr>
            <w:r>
              <w:rPr>
                <w:b/>
                <w:sz w:val="18"/>
              </w:rPr>
              <w:t>26.301.313A.497</w:t>
            </w:r>
          </w:p>
        </w:tc>
        <w:tc>
          <w:tcPr>
            <w:tcW w:w="557" w:type="dxa"/>
          </w:tcPr>
          <w:p w:rsidR="006C6F4F" w:rsidRDefault="004C0E36">
            <w:pPr>
              <w:pStyle w:val="TableParagraph"/>
              <w:spacing w:before="143"/>
              <w:ind w:left="177"/>
              <w:rPr>
                <w:b/>
                <w:sz w:val="18"/>
              </w:rPr>
            </w:pPr>
            <w:r>
              <w:rPr>
                <w:b/>
                <w:sz w:val="18"/>
              </w:rPr>
              <w:t>16</w:t>
            </w:r>
          </w:p>
        </w:tc>
        <w:tc>
          <w:tcPr>
            <w:tcW w:w="5528" w:type="dxa"/>
          </w:tcPr>
          <w:p w:rsidR="006C6F4F" w:rsidRDefault="004C0E36">
            <w:pPr>
              <w:pStyle w:val="TableParagraph"/>
              <w:spacing w:before="44"/>
              <w:ind w:left="108" w:right="657" w:firstLine="50"/>
              <w:rPr>
                <w:sz w:val="18"/>
              </w:rPr>
            </w:pPr>
            <w:r>
              <w:rPr>
                <w:sz w:val="18"/>
              </w:rPr>
              <w:t>“Cuota Internacional a la OCDE relativa a las BPL (buenas prácticas de laboratorio)”.</w:t>
            </w:r>
          </w:p>
        </w:tc>
        <w:tc>
          <w:tcPr>
            <w:tcW w:w="1675" w:type="dxa"/>
          </w:tcPr>
          <w:p w:rsidR="006C6F4F" w:rsidRDefault="004C0E36">
            <w:pPr>
              <w:pStyle w:val="TableParagraph"/>
              <w:spacing w:before="147"/>
              <w:ind w:right="96"/>
              <w:jc w:val="right"/>
              <w:rPr>
                <w:sz w:val="18"/>
              </w:rPr>
            </w:pPr>
            <w:r>
              <w:rPr>
                <w:sz w:val="18"/>
              </w:rPr>
              <w:t>10.000</w:t>
            </w:r>
          </w:p>
        </w:tc>
      </w:tr>
      <w:tr w:rsidR="006C6F4F">
        <w:trPr>
          <w:trHeight w:val="398"/>
        </w:trPr>
        <w:tc>
          <w:tcPr>
            <w:tcW w:w="2405" w:type="dxa"/>
            <w:gridSpan w:val="2"/>
            <w:tcBorders>
              <w:left w:val="nil"/>
            </w:tcBorders>
          </w:tcPr>
          <w:p w:rsidR="006C6F4F" w:rsidRDefault="006C6F4F">
            <w:pPr>
              <w:pStyle w:val="TableParagraph"/>
              <w:rPr>
                <w:rFonts w:ascii="Times New Roman"/>
                <w:sz w:val="18"/>
              </w:rPr>
            </w:pPr>
          </w:p>
        </w:tc>
        <w:tc>
          <w:tcPr>
            <w:tcW w:w="5528" w:type="dxa"/>
            <w:shd w:val="clear" w:color="auto" w:fill="B8CCE3"/>
          </w:tcPr>
          <w:p w:rsidR="006C6F4F" w:rsidRDefault="004C0E36">
            <w:pPr>
              <w:pStyle w:val="TableParagraph"/>
              <w:spacing w:before="69"/>
              <w:ind w:right="94"/>
              <w:jc w:val="right"/>
              <w:rPr>
                <w:b/>
              </w:rPr>
            </w:pPr>
            <w:r>
              <w:rPr>
                <w:b/>
              </w:rPr>
              <w:t>TOTAL………………………………</w:t>
            </w:r>
          </w:p>
        </w:tc>
        <w:tc>
          <w:tcPr>
            <w:tcW w:w="1675" w:type="dxa"/>
            <w:shd w:val="clear" w:color="auto" w:fill="B8CCE3"/>
          </w:tcPr>
          <w:p w:rsidR="006C6F4F" w:rsidRDefault="004C0E36">
            <w:pPr>
              <w:pStyle w:val="TableParagraph"/>
              <w:spacing w:before="69"/>
              <w:ind w:right="95"/>
              <w:jc w:val="right"/>
              <w:rPr>
                <w:b/>
              </w:rPr>
            </w:pPr>
            <w:r>
              <w:rPr>
                <w:b/>
              </w:rPr>
              <w:t>92.000</w:t>
            </w:r>
          </w:p>
        </w:tc>
      </w:tr>
      <w:tr w:rsidR="006C6F4F">
        <w:trPr>
          <w:trHeight w:val="398"/>
        </w:trPr>
        <w:tc>
          <w:tcPr>
            <w:tcW w:w="2405" w:type="dxa"/>
            <w:gridSpan w:val="2"/>
            <w:tcBorders>
              <w:left w:val="nil"/>
              <w:bottom w:val="nil"/>
            </w:tcBorders>
          </w:tcPr>
          <w:p w:rsidR="006C6F4F" w:rsidRDefault="006C6F4F">
            <w:pPr>
              <w:pStyle w:val="TableParagraph"/>
              <w:rPr>
                <w:rFonts w:ascii="Times New Roman"/>
                <w:sz w:val="18"/>
              </w:rPr>
            </w:pPr>
          </w:p>
        </w:tc>
        <w:tc>
          <w:tcPr>
            <w:tcW w:w="5528" w:type="dxa"/>
            <w:shd w:val="clear" w:color="auto" w:fill="94B3D6"/>
          </w:tcPr>
          <w:p w:rsidR="006C6F4F" w:rsidRDefault="006C6F4F">
            <w:pPr>
              <w:pStyle w:val="TableParagraph"/>
              <w:rPr>
                <w:rFonts w:ascii="Times New Roman"/>
                <w:sz w:val="18"/>
              </w:rPr>
            </w:pPr>
          </w:p>
        </w:tc>
        <w:tc>
          <w:tcPr>
            <w:tcW w:w="1675" w:type="dxa"/>
            <w:shd w:val="clear" w:color="auto" w:fill="94B3D6"/>
          </w:tcPr>
          <w:p w:rsidR="006C6F4F" w:rsidRDefault="004C0E36">
            <w:pPr>
              <w:pStyle w:val="TableParagraph"/>
              <w:spacing w:before="67"/>
              <w:ind w:right="95"/>
              <w:jc w:val="right"/>
              <w:rPr>
                <w:b/>
              </w:rPr>
            </w:pPr>
            <w:r>
              <w:rPr>
                <w:b/>
              </w:rPr>
              <w:t>1.341.000</w:t>
            </w:r>
          </w:p>
        </w:tc>
      </w:tr>
    </w:tbl>
    <w:p w:rsidR="004C0E36" w:rsidRDefault="004C0E36"/>
    <w:sectPr w:rsidR="004C0E36">
      <w:pgSz w:w="11910" w:h="16840"/>
      <w:pgMar w:top="1480" w:right="580" w:bottom="920" w:left="1480" w:header="295" w:footer="7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E36" w:rsidRDefault="004C0E36">
      <w:r>
        <w:separator/>
      </w:r>
    </w:p>
  </w:endnote>
  <w:endnote w:type="continuationSeparator" w:id="0">
    <w:p w:rsidR="004C0E36" w:rsidRDefault="004C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4F" w:rsidRDefault="004C0E36">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75pt;margin-top:794.25pt;width:16.1pt;height:13.05pt;z-index:-16287232;mso-position-horizontal-relative:page;mso-position-vertical-relative:page" filled="f" stroked="f">
          <v:textbox inset="0,0,0,0">
            <w:txbxContent>
              <w:p w:rsidR="006C6F4F" w:rsidRDefault="004C0E36">
                <w:pPr>
                  <w:spacing w:before="10"/>
                  <w:ind w:left="60"/>
                  <w:rPr>
                    <w:rFonts w:ascii="Times New Roman"/>
                    <w:sz w:val="20"/>
                  </w:rPr>
                </w:pPr>
                <w:r>
                  <w:fldChar w:fldCharType="begin"/>
                </w:r>
                <w:r>
                  <w:rPr>
                    <w:rFonts w:ascii="Times New Roman"/>
                    <w:sz w:val="20"/>
                  </w:rPr>
                  <w:instrText xml:space="preserve"> PAGE </w:instrText>
                </w:r>
                <w:r>
                  <w:fldChar w:fldCharType="separate"/>
                </w:r>
                <w:r w:rsidR="003216A4">
                  <w:rPr>
                    <w:rFonts w:ascii="Times New Roman"/>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E36" w:rsidRDefault="004C0E36">
      <w:r>
        <w:separator/>
      </w:r>
    </w:p>
  </w:footnote>
  <w:footnote w:type="continuationSeparator" w:id="0">
    <w:p w:rsidR="004C0E36" w:rsidRDefault="004C0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F4F" w:rsidRDefault="004C0E36">
    <w:pPr>
      <w:pStyle w:val="Textoindependiente"/>
      <w:spacing w:line="14" w:lineRule="auto"/>
      <w:rPr>
        <w:sz w:val="20"/>
      </w:rPr>
    </w:pPr>
    <w:r>
      <w:rPr>
        <w:noProof/>
        <w:lang w:eastAsia="es-ES"/>
      </w:rPr>
      <w:drawing>
        <wp:anchor distT="0" distB="0" distL="0" distR="0" simplePos="0" relativeHeight="487028224" behindDoc="1" locked="0" layoutInCell="1" allowOverlap="1">
          <wp:simplePos x="0" y="0"/>
          <wp:positionH relativeFrom="page">
            <wp:posOffset>257175</wp:posOffset>
          </wp:positionH>
          <wp:positionV relativeFrom="page">
            <wp:posOffset>187324</wp:posOffset>
          </wp:positionV>
          <wp:extent cx="541655" cy="571500"/>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stretch>
                    <a:fillRect/>
                  </a:stretch>
                </pic:blipFill>
                <pic:spPr>
                  <a:xfrm>
                    <a:off x="0" y="0"/>
                    <a:ext cx="541655" cy="571500"/>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69.95pt;margin-top:33.95pt;width:44.1pt;height:20.6pt;z-index:-16287744;mso-position-horizontal-relative:page;mso-position-vertical-relative:page" filled="f" stroked="f">
          <v:textbox inset="0,0,0,0">
            <w:txbxContent>
              <w:p w:rsidR="006C6F4F" w:rsidRDefault="004C0E36">
                <w:pPr>
                  <w:spacing w:before="20"/>
                  <w:ind w:left="20" w:right="1"/>
                  <w:rPr>
                    <w:rFonts w:ascii="Trebuchet MS"/>
                    <w:sz w:val="16"/>
                  </w:rPr>
                </w:pPr>
                <w:r>
                  <w:rPr>
                    <w:rFonts w:ascii="Trebuchet MS"/>
                    <w:sz w:val="16"/>
                  </w:rPr>
                  <w:t>MINISTERIO DE SANIDAD</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5858"/>
    <w:multiLevelType w:val="hybridMultilevel"/>
    <w:tmpl w:val="DEC02F06"/>
    <w:lvl w:ilvl="0" w:tplc="865E6716">
      <w:numFmt w:val="bullet"/>
      <w:lvlText w:val="-"/>
      <w:lvlJc w:val="left"/>
      <w:pPr>
        <w:ind w:left="222" w:hanging="159"/>
      </w:pPr>
      <w:rPr>
        <w:rFonts w:ascii="Arial" w:eastAsia="Arial" w:hAnsi="Arial" w:cs="Arial" w:hint="default"/>
        <w:w w:val="100"/>
        <w:sz w:val="22"/>
        <w:szCs w:val="22"/>
        <w:lang w:val="es-ES" w:eastAsia="en-US" w:bidi="ar-SA"/>
      </w:rPr>
    </w:lvl>
    <w:lvl w:ilvl="1" w:tplc="130C1324">
      <w:numFmt w:val="bullet"/>
      <w:lvlText w:val="•"/>
      <w:lvlJc w:val="left"/>
      <w:pPr>
        <w:ind w:left="1182" w:hanging="159"/>
      </w:pPr>
      <w:rPr>
        <w:rFonts w:hint="default"/>
        <w:lang w:val="es-ES" w:eastAsia="en-US" w:bidi="ar-SA"/>
      </w:rPr>
    </w:lvl>
    <w:lvl w:ilvl="2" w:tplc="AB9AABDC">
      <w:numFmt w:val="bullet"/>
      <w:lvlText w:val="•"/>
      <w:lvlJc w:val="left"/>
      <w:pPr>
        <w:ind w:left="2145" w:hanging="159"/>
      </w:pPr>
      <w:rPr>
        <w:rFonts w:hint="default"/>
        <w:lang w:val="es-ES" w:eastAsia="en-US" w:bidi="ar-SA"/>
      </w:rPr>
    </w:lvl>
    <w:lvl w:ilvl="3" w:tplc="B7167AE6">
      <w:numFmt w:val="bullet"/>
      <w:lvlText w:val="•"/>
      <w:lvlJc w:val="left"/>
      <w:pPr>
        <w:ind w:left="3107" w:hanging="159"/>
      </w:pPr>
      <w:rPr>
        <w:rFonts w:hint="default"/>
        <w:lang w:val="es-ES" w:eastAsia="en-US" w:bidi="ar-SA"/>
      </w:rPr>
    </w:lvl>
    <w:lvl w:ilvl="4" w:tplc="4642E3E6">
      <w:numFmt w:val="bullet"/>
      <w:lvlText w:val="•"/>
      <w:lvlJc w:val="left"/>
      <w:pPr>
        <w:ind w:left="4070" w:hanging="159"/>
      </w:pPr>
      <w:rPr>
        <w:rFonts w:hint="default"/>
        <w:lang w:val="es-ES" w:eastAsia="en-US" w:bidi="ar-SA"/>
      </w:rPr>
    </w:lvl>
    <w:lvl w:ilvl="5" w:tplc="A92EFD22">
      <w:numFmt w:val="bullet"/>
      <w:lvlText w:val="•"/>
      <w:lvlJc w:val="left"/>
      <w:pPr>
        <w:ind w:left="5033" w:hanging="159"/>
      </w:pPr>
      <w:rPr>
        <w:rFonts w:hint="default"/>
        <w:lang w:val="es-ES" w:eastAsia="en-US" w:bidi="ar-SA"/>
      </w:rPr>
    </w:lvl>
    <w:lvl w:ilvl="6" w:tplc="A9665F90">
      <w:numFmt w:val="bullet"/>
      <w:lvlText w:val="•"/>
      <w:lvlJc w:val="left"/>
      <w:pPr>
        <w:ind w:left="5995" w:hanging="159"/>
      </w:pPr>
      <w:rPr>
        <w:rFonts w:hint="default"/>
        <w:lang w:val="es-ES" w:eastAsia="en-US" w:bidi="ar-SA"/>
      </w:rPr>
    </w:lvl>
    <w:lvl w:ilvl="7" w:tplc="9F80700A">
      <w:numFmt w:val="bullet"/>
      <w:lvlText w:val="•"/>
      <w:lvlJc w:val="left"/>
      <w:pPr>
        <w:ind w:left="6958" w:hanging="159"/>
      </w:pPr>
      <w:rPr>
        <w:rFonts w:hint="default"/>
        <w:lang w:val="es-ES" w:eastAsia="en-US" w:bidi="ar-SA"/>
      </w:rPr>
    </w:lvl>
    <w:lvl w:ilvl="8" w:tplc="91E20966">
      <w:numFmt w:val="bullet"/>
      <w:lvlText w:val="•"/>
      <w:lvlJc w:val="left"/>
      <w:pPr>
        <w:ind w:left="7921" w:hanging="159"/>
      </w:pPr>
      <w:rPr>
        <w:rFonts w:hint="default"/>
        <w:lang w:val="es-ES" w:eastAsia="en-US" w:bidi="ar-SA"/>
      </w:rPr>
    </w:lvl>
  </w:abstractNum>
  <w:abstractNum w:abstractNumId="1">
    <w:nsid w:val="5B157963"/>
    <w:multiLevelType w:val="hybridMultilevel"/>
    <w:tmpl w:val="446AEF56"/>
    <w:lvl w:ilvl="0" w:tplc="66BA8836">
      <w:numFmt w:val="bullet"/>
      <w:lvlText w:val=""/>
      <w:lvlJc w:val="left"/>
      <w:pPr>
        <w:ind w:left="568" w:hanging="286"/>
      </w:pPr>
      <w:rPr>
        <w:rFonts w:ascii="Wingdings" w:eastAsia="Wingdings" w:hAnsi="Wingdings" w:cs="Wingdings" w:hint="default"/>
        <w:w w:val="100"/>
        <w:sz w:val="22"/>
        <w:szCs w:val="22"/>
        <w:lang w:val="es-ES" w:eastAsia="en-US" w:bidi="ar-SA"/>
      </w:rPr>
    </w:lvl>
    <w:lvl w:ilvl="1" w:tplc="F006BCDA">
      <w:numFmt w:val="bullet"/>
      <w:lvlText w:val="•"/>
      <w:lvlJc w:val="left"/>
      <w:pPr>
        <w:ind w:left="1141" w:hanging="286"/>
      </w:pPr>
      <w:rPr>
        <w:rFonts w:hint="default"/>
        <w:lang w:val="es-ES" w:eastAsia="en-US" w:bidi="ar-SA"/>
      </w:rPr>
    </w:lvl>
    <w:lvl w:ilvl="2" w:tplc="A83A2744">
      <w:numFmt w:val="bullet"/>
      <w:lvlText w:val="•"/>
      <w:lvlJc w:val="left"/>
      <w:pPr>
        <w:ind w:left="1722" w:hanging="286"/>
      </w:pPr>
      <w:rPr>
        <w:rFonts w:hint="default"/>
        <w:lang w:val="es-ES" w:eastAsia="en-US" w:bidi="ar-SA"/>
      </w:rPr>
    </w:lvl>
    <w:lvl w:ilvl="3" w:tplc="E37A4276">
      <w:numFmt w:val="bullet"/>
      <w:lvlText w:val="•"/>
      <w:lvlJc w:val="left"/>
      <w:pPr>
        <w:ind w:left="2303" w:hanging="286"/>
      </w:pPr>
      <w:rPr>
        <w:rFonts w:hint="default"/>
        <w:lang w:val="es-ES" w:eastAsia="en-US" w:bidi="ar-SA"/>
      </w:rPr>
    </w:lvl>
    <w:lvl w:ilvl="4" w:tplc="F7E00028">
      <w:numFmt w:val="bullet"/>
      <w:lvlText w:val="•"/>
      <w:lvlJc w:val="left"/>
      <w:pPr>
        <w:ind w:left="2884" w:hanging="286"/>
      </w:pPr>
      <w:rPr>
        <w:rFonts w:hint="default"/>
        <w:lang w:val="es-ES" w:eastAsia="en-US" w:bidi="ar-SA"/>
      </w:rPr>
    </w:lvl>
    <w:lvl w:ilvl="5" w:tplc="72F6DD54">
      <w:numFmt w:val="bullet"/>
      <w:lvlText w:val="•"/>
      <w:lvlJc w:val="left"/>
      <w:pPr>
        <w:ind w:left="3465" w:hanging="286"/>
      </w:pPr>
      <w:rPr>
        <w:rFonts w:hint="default"/>
        <w:lang w:val="es-ES" w:eastAsia="en-US" w:bidi="ar-SA"/>
      </w:rPr>
    </w:lvl>
    <w:lvl w:ilvl="6" w:tplc="86108736">
      <w:numFmt w:val="bullet"/>
      <w:lvlText w:val="•"/>
      <w:lvlJc w:val="left"/>
      <w:pPr>
        <w:ind w:left="4046" w:hanging="286"/>
      </w:pPr>
      <w:rPr>
        <w:rFonts w:hint="default"/>
        <w:lang w:val="es-ES" w:eastAsia="en-US" w:bidi="ar-SA"/>
      </w:rPr>
    </w:lvl>
    <w:lvl w:ilvl="7" w:tplc="A42CC274">
      <w:numFmt w:val="bullet"/>
      <w:lvlText w:val="•"/>
      <w:lvlJc w:val="left"/>
      <w:pPr>
        <w:ind w:left="4627" w:hanging="286"/>
      </w:pPr>
      <w:rPr>
        <w:rFonts w:hint="default"/>
        <w:lang w:val="es-ES" w:eastAsia="en-US" w:bidi="ar-SA"/>
      </w:rPr>
    </w:lvl>
    <w:lvl w:ilvl="8" w:tplc="57D63AB0">
      <w:numFmt w:val="bullet"/>
      <w:lvlText w:val="•"/>
      <w:lvlJc w:val="left"/>
      <w:pPr>
        <w:ind w:left="5208" w:hanging="286"/>
      </w:pPr>
      <w:rPr>
        <w:rFonts w:hint="default"/>
        <w:lang w:val="es-ES" w:eastAsia="en-US" w:bidi="ar-SA"/>
      </w:rPr>
    </w:lvl>
  </w:abstractNum>
  <w:abstractNum w:abstractNumId="2">
    <w:nsid w:val="6145529C"/>
    <w:multiLevelType w:val="hybridMultilevel"/>
    <w:tmpl w:val="DD22EE46"/>
    <w:lvl w:ilvl="0" w:tplc="785E4C18">
      <w:start w:val="1"/>
      <w:numFmt w:val="decimal"/>
      <w:lvlText w:val="%1."/>
      <w:lvlJc w:val="left"/>
      <w:pPr>
        <w:ind w:left="442" w:hanging="221"/>
        <w:jc w:val="left"/>
      </w:pPr>
      <w:rPr>
        <w:rFonts w:ascii="Arial Narrow" w:eastAsia="Arial Narrow" w:hAnsi="Arial Narrow" w:cs="Arial Narrow" w:hint="default"/>
        <w:b/>
        <w:bCs/>
        <w:spacing w:val="-1"/>
        <w:w w:val="100"/>
        <w:sz w:val="24"/>
        <w:szCs w:val="24"/>
        <w:lang w:val="es-ES" w:eastAsia="en-US" w:bidi="ar-SA"/>
      </w:rPr>
    </w:lvl>
    <w:lvl w:ilvl="1" w:tplc="CB5ABF64">
      <w:numFmt w:val="bullet"/>
      <w:lvlText w:val=""/>
      <w:lvlJc w:val="left"/>
      <w:pPr>
        <w:ind w:left="934" w:hanging="356"/>
      </w:pPr>
      <w:rPr>
        <w:rFonts w:ascii="Symbol" w:eastAsia="Symbol" w:hAnsi="Symbol" w:cs="Symbol" w:hint="default"/>
        <w:w w:val="100"/>
        <w:sz w:val="22"/>
        <w:szCs w:val="22"/>
        <w:lang w:val="es-ES" w:eastAsia="en-US" w:bidi="ar-SA"/>
      </w:rPr>
    </w:lvl>
    <w:lvl w:ilvl="2" w:tplc="0FBAB10A">
      <w:numFmt w:val="bullet"/>
      <w:lvlText w:val="•"/>
      <w:lvlJc w:val="left"/>
      <w:pPr>
        <w:ind w:left="1929" w:hanging="356"/>
      </w:pPr>
      <w:rPr>
        <w:rFonts w:hint="default"/>
        <w:lang w:val="es-ES" w:eastAsia="en-US" w:bidi="ar-SA"/>
      </w:rPr>
    </w:lvl>
    <w:lvl w:ilvl="3" w:tplc="43DE1914">
      <w:numFmt w:val="bullet"/>
      <w:lvlText w:val="•"/>
      <w:lvlJc w:val="left"/>
      <w:pPr>
        <w:ind w:left="2919" w:hanging="356"/>
      </w:pPr>
      <w:rPr>
        <w:rFonts w:hint="default"/>
        <w:lang w:val="es-ES" w:eastAsia="en-US" w:bidi="ar-SA"/>
      </w:rPr>
    </w:lvl>
    <w:lvl w:ilvl="4" w:tplc="97DEB81C">
      <w:numFmt w:val="bullet"/>
      <w:lvlText w:val="•"/>
      <w:lvlJc w:val="left"/>
      <w:pPr>
        <w:ind w:left="3908" w:hanging="356"/>
      </w:pPr>
      <w:rPr>
        <w:rFonts w:hint="default"/>
        <w:lang w:val="es-ES" w:eastAsia="en-US" w:bidi="ar-SA"/>
      </w:rPr>
    </w:lvl>
    <w:lvl w:ilvl="5" w:tplc="8570B1AA">
      <w:numFmt w:val="bullet"/>
      <w:lvlText w:val="•"/>
      <w:lvlJc w:val="left"/>
      <w:pPr>
        <w:ind w:left="4898" w:hanging="356"/>
      </w:pPr>
      <w:rPr>
        <w:rFonts w:hint="default"/>
        <w:lang w:val="es-ES" w:eastAsia="en-US" w:bidi="ar-SA"/>
      </w:rPr>
    </w:lvl>
    <w:lvl w:ilvl="6" w:tplc="608C7898">
      <w:numFmt w:val="bullet"/>
      <w:lvlText w:val="•"/>
      <w:lvlJc w:val="left"/>
      <w:pPr>
        <w:ind w:left="5888" w:hanging="356"/>
      </w:pPr>
      <w:rPr>
        <w:rFonts w:hint="default"/>
        <w:lang w:val="es-ES" w:eastAsia="en-US" w:bidi="ar-SA"/>
      </w:rPr>
    </w:lvl>
    <w:lvl w:ilvl="7" w:tplc="050AC1F0">
      <w:numFmt w:val="bullet"/>
      <w:lvlText w:val="•"/>
      <w:lvlJc w:val="left"/>
      <w:pPr>
        <w:ind w:left="6877" w:hanging="356"/>
      </w:pPr>
      <w:rPr>
        <w:rFonts w:hint="default"/>
        <w:lang w:val="es-ES" w:eastAsia="en-US" w:bidi="ar-SA"/>
      </w:rPr>
    </w:lvl>
    <w:lvl w:ilvl="8" w:tplc="A44680C4">
      <w:numFmt w:val="bullet"/>
      <w:lvlText w:val="•"/>
      <w:lvlJc w:val="left"/>
      <w:pPr>
        <w:ind w:left="7867" w:hanging="356"/>
      </w:pPr>
      <w:rPr>
        <w:rFonts w:hint="default"/>
        <w:lang w:val="es-ES" w:eastAsia="en-US" w:bidi="ar-SA"/>
      </w:rPr>
    </w:lvl>
  </w:abstractNum>
  <w:abstractNum w:abstractNumId="3">
    <w:nsid w:val="68803CB8"/>
    <w:multiLevelType w:val="hybridMultilevel"/>
    <w:tmpl w:val="33F82FAE"/>
    <w:lvl w:ilvl="0" w:tplc="73C499BA">
      <w:numFmt w:val="bullet"/>
      <w:lvlText w:val=""/>
      <w:lvlJc w:val="left"/>
      <w:pPr>
        <w:ind w:left="649" w:hanging="360"/>
      </w:pPr>
      <w:rPr>
        <w:rFonts w:ascii="Symbol" w:eastAsia="Symbol" w:hAnsi="Symbol" w:cs="Symbol" w:hint="default"/>
        <w:w w:val="100"/>
        <w:sz w:val="24"/>
        <w:szCs w:val="24"/>
        <w:lang w:val="es-ES" w:eastAsia="en-US" w:bidi="ar-SA"/>
      </w:rPr>
    </w:lvl>
    <w:lvl w:ilvl="1" w:tplc="F11A1BDE">
      <w:numFmt w:val="bullet"/>
      <w:lvlText w:val=""/>
      <w:lvlJc w:val="left"/>
      <w:pPr>
        <w:ind w:left="942" w:hanging="360"/>
      </w:pPr>
      <w:rPr>
        <w:rFonts w:ascii="Symbol" w:eastAsia="Symbol" w:hAnsi="Symbol" w:cs="Symbol" w:hint="default"/>
        <w:w w:val="100"/>
        <w:sz w:val="24"/>
        <w:szCs w:val="24"/>
        <w:lang w:val="es-ES" w:eastAsia="en-US" w:bidi="ar-SA"/>
      </w:rPr>
    </w:lvl>
    <w:lvl w:ilvl="2" w:tplc="99FAACAA">
      <w:numFmt w:val="bullet"/>
      <w:lvlText w:val="•"/>
      <w:lvlJc w:val="left"/>
      <w:pPr>
        <w:ind w:left="1929" w:hanging="360"/>
      </w:pPr>
      <w:rPr>
        <w:rFonts w:hint="default"/>
        <w:lang w:val="es-ES" w:eastAsia="en-US" w:bidi="ar-SA"/>
      </w:rPr>
    </w:lvl>
    <w:lvl w:ilvl="3" w:tplc="9C4C8D66">
      <w:numFmt w:val="bullet"/>
      <w:lvlText w:val="•"/>
      <w:lvlJc w:val="left"/>
      <w:pPr>
        <w:ind w:left="2919" w:hanging="360"/>
      </w:pPr>
      <w:rPr>
        <w:rFonts w:hint="default"/>
        <w:lang w:val="es-ES" w:eastAsia="en-US" w:bidi="ar-SA"/>
      </w:rPr>
    </w:lvl>
    <w:lvl w:ilvl="4" w:tplc="EFD0A7F2">
      <w:numFmt w:val="bullet"/>
      <w:lvlText w:val="•"/>
      <w:lvlJc w:val="left"/>
      <w:pPr>
        <w:ind w:left="3908" w:hanging="360"/>
      </w:pPr>
      <w:rPr>
        <w:rFonts w:hint="default"/>
        <w:lang w:val="es-ES" w:eastAsia="en-US" w:bidi="ar-SA"/>
      </w:rPr>
    </w:lvl>
    <w:lvl w:ilvl="5" w:tplc="73F274DE">
      <w:numFmt w:val="bullet"/>
      <w:lvlText w:val="•"/>
      <w:lvlJc w:val="left"/>
      <w:pPr>
        <w:ind w:left="4898" w:hanging="360"/>
      </w:pPr>
      <w:rPr>
        <w:rFonts w:hint="default"/>
        <w:lang w:val="es-ES" w:eastAsia="en-US" w:bidi="ar-SA"/>
      </w:rPr>
    </w:lvl>
    <w:lvl w:ilvl="6" w:tplc="FC026B94">
      <w:numFmt w:val="bullet"/>
      <w:lvlText w:val="•"/>
      <w:lvlJc w:val="left"/>
      <w:pPr>
        <w:ind w:left="5888" w:hanging="360"/>
      </w:pPr>
      <w:rPr>
        <w:rFonts w:hint="default"/>
        <w:lang w:val="es-ES" w:eastAsia="en-US" w:bidi="ar-SA"/>
      </w:rPr>
    </w:lvl>
    <w:lvl w:ilvl="7" w:tplc="6E9EFEE0">
      <w:numFmt w:val="bullet"/>
      <w:lvlText w:val="•"/>
      <w:lvlJc w:val="left"/>
      <w:pPr>
        <w:ind w:left="6877" w:hanging="360"/>
      </w:pPr>
      <w:rPr>
        <w:rFonts w:hint="default"/>
        <w:lang w:val="es-ES" w:eastAsia="en-US" w:bidi="ar-SA"/>
      </w:rPr>
    </w:lvl>
    <w:lvl w:ilvl="8" w:tplc="6966F182">
      <w:numFmt w:val="bullet"/>
      <w:lvlText w:val="•"/>
      <w:lvlJc w:val="left"/>
      <w:pPr>
        <w:ind w:left="7867" w:hanging="360"/>
      </w:pPr>
      <w:rPr>
        <w:rFonts w:hint="default"/>
        <w:lang w:val="es-ES" w:eastAsia="en-US" w:bidi="ar-SA"/>
      </w:rPr>
    </w:lvl>
  </w:abstractNum>
  <w:abstractNum w:abstractNumId="4">
    <w:nsid w:val="7F635BCC"/>
    <w:multiLevelType w:val="hybridMultilevel"/>
    <w:tmpl w:val="E110D4F4"/>
    <w:lvl w:ilvl="0" w:tplc="23386DD2">
      <w:start w:val="1"/>
      <w:numFmt w:val="decimal"/>
      <w:lvlText w:val="%1."/>
      <w:lvlJc w:val="left"/>
      <w:pPr>
        <w:ind w:left="222" w:hanging="646"/>
        <w:jc w:val="left"/>
      </w:pPr>
      <w:rPr>
        <w:rFonts w:ascii="Arial" w:eastAsia="Arial" w:hAnsi="Arial" w:cs="Arial" w:hint="default"/>
        <w:spacing w:val="-1"/>
        <w:w w:val="100"/>
        <w:sz w:val="22"/>
        <w:szCs w:val="22"/>
        <w:lang w:val="es-ES" w:eastAsia="en-US" w:bidi="ar-SA"/>
      </w:rPr>
    </w:lvl>
    <w:lvl w:ilvl="1" w:tplc="73B2F0D0">
      <w:numFmt w:val="bullet"/>
      <w:lvlText w:val="•"/>
      <w:lvlJc w:val="left"/>
      <w:pPr>
        <w:ind w:left="1182" w:hanging="646"/>
      </w:pPr>
      <w:rPr>
        <w:rFonts w:hint="default"/>
        <w:lang w:val="es-ES" w:eastAsia="en-US" w:bidi="ar-SA"/>
      </w:rPr>
    </w:lvl>
    <w:lvl w:ilvl="2" w:tplc="E982BAD8">
      <w:numFmt w:val="bullet"/>
      <w:lvlText w:val="•"/>
      <w:lvlJc w:val="left"/>
      <w:pPr>
        <w:ind w:left="2145" w:hanging="646"/>
      </w:pPr>
      <w:rPr>
        <w:rFonts w:hint="default"/>
        <w:lang w:val="es-ES" w:eastAsia="en-US" w:bidi="ar-SA"/>
      </w:rPr>
    </w:lvl>
    <w:lvl w:ilvl="3" w:tplc="874620E0">
      <w:numFmt w:val="bullet"/>
      <w:lvlText w:val="•"/>
      <w:lvlJc w:val="left"/>
      <w:pPr>
        <w:ind w:left="3107" w:hanging="646"/>
      </w:pPr>
      <w:rPr>
        <w:rFonts w:hint="default"/>
        <w:lang w:val="es-ES" w:eastAsia="en-US" w:bidi="ar-SA"/>
      </w:rPr>
    </w:lvl>
    <w:lvl w:ilvl="4" w:tplc="B686E5DE">
      <w:numFmt w:val="bullet"/>
      <w:lvlText w:val="•"/>
      <w:lvlJc w:val="left"/>
      <w:pPr>
        <w:ind w:left="4070" w:hanging="646"/>
      </w:pPr>
      <w:rPr>
        <w:rFonts w:hint="default"/>
        <w:lang w:val="es-ES" w:eastAsia="en-US" w:bidi="ar-SA"/>
      </w:rPr>
    </w:lvl>
    <w:lvl w:ilvl="5" w:tplc="F2F66E9C">
      <w:numFmt w:val="bullet"/>
      <w:lvlText w:val="•"/>
      <w:lvlJc w:val="left"/>
      <w:pPr>
        <w:ind w:left="5033" w:hanging="646"/>
      </w:pPr>
      <w:rPr>
        <w:rFonts w:hint="default"/>
        <w:lang w:val="es-ES" w:eastAsia="en-US" w:bidi="ar-SA"/>
      </w:rPr>
    </w:lvl>
    <w:lvl w:ilvl="6" w:tplc="E2BC07A6">
      <w:numFmt w:val="bullet"/>
      <w:lvlText w:val="•"/>
      <w:lvlJc w:val="left"/>
      <w:pPr>
        <w:ind w:left="5995" w:hanging="646"/>
      </w:pPr>
      <w:rPr>
        <w:rFonts w:hint="default"/>
        <w:lang w:val="es-ES" w:eastAsia="en-US" w:bidi="ar-SA"/>
      </w:rPr>
    </w:lvl>
    <w:lvl w:ilvl="7" w:tplc="E2E86AA4">
      <w:numFmt w:val="bullet"/>
      <w:lvlText w:val="•"/>
      <w:lvlJc w:val="left"/>
      <w:pPr>
        <w:ind w:left="6958" w:hanging="646"/>
      </w:pPr>
      <w:rPr>
        <w:rFonts w:hint="default"/>
        <w:lang w:val="es-ES" w:eastAsia="en-US" w:bidi="ar-SA"/>
      </w:rPr>
    </w:lvl>
    <w:lvl w:ilvl="8" w:tplc="92D8E564">
      <w:numFmt w:val="bullet"/>
      <w:lvlText w:val="•"/>
      <w:lvlJc w:val="left"/>
      <w:pPr>
        <w:ind w:left="7921" w:hanging="646"/>
      </w:pPr>
      <w:rPr>
        <w:rFonts w:hint="default"/>
        <w:lang w:val="es-E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C6F4F"/>
    <w:rsid w:val="003216A4"/>
    <w:rsid w:val="004C0E36"/>
    <w:rsid w:val="006C6F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Narrow" w:eastAsia="Arial Narrow" w:hAnsi="Arial Narrow" w:cs="Arial Narrow"/>
      <w:lang w:val="es-ES"/>
    </w:rPr>
  </w:style>
  <w:style w:type="paragraph" w:styleId="Ttulo1">
    <w:name w:val="heading 1"/>
    <w:basedOn w:val="Normal"/>
    <w:uiPriority w:val="1"/>
    <w:qFormat/>
    <w:pPr>
      <w:ind w:left="22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266"/>
      <w:ind w:left="916" w:right="429" w:hanging="212"/>
    </w:pPr>
    <w:rPr>
      <w:rFonts w:ascii="Berlin Sans FB Demi" w:eastAsia="Berlin Sans FB Demi" w:hAnsi="Berlin Sans FB Demi" w:cs="Berlin Sans FB Demi"/>
      <w:b/>
      <w:bCs/>
      <w:sz w:val="72"/>
      <w:szCs w:val="72"/>
    </w:rPr>
  </w:style>
  <w:style w:type="paragraph" w:styleId="Prrafodelista">
    <w:name w:val="List Paragraph"/>
    <w:basedOn w:val="Normal"/>
    <w:uiPriority w:val="1"/>
    <w:qFormat/>
    <w:pPr>
      <w:ind w:left="222" w:right="1122" w:hanging="360"/>
      <w:jc w:val="both"/>
    </w:pPr>
  </w:style>
  <w:style w:type="paragraph" w:customStyle="1" w:styleId="TableParagraph">
    <w:name w:val="Table Paragraph"/>
    <w:basedOn w:val="Normal"/>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2573</Words>
  <Characters>14155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Presentación de PowerPoint</vt:lpstr>
    </vt:vector>
  </TitlesOfParts>
  <Company>Ministerio de Sanidad, Servicios Sociales e Igualdad</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creator>Sabina Plata Galán</dc:creator>
  <cp:lastModifiedBy>Raquel Palenzuela Fernández</cp:lastModifiedBy>
  <cp:revision>2</cp:revision>
  <dcterms:created xsi:type="dcterms:W3CDTF">2020-07-27T08:26:00Z</dcterms:created>
  <dcterms:modified xsi:type="dcterms:W3CDTF">2020-07-27T08:26:00Z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PowerPoint® 2010</vt:lpwstr>
  </property>
  <property fmtid="{D5CDD505-2E9C-101B-9397-08002B2CF9AE}" pid="4" name="LastSaved">
    <vt:filetime>2020-07-27T00:00:00Z</vt:filetime>
  </property>
</Properties>
</file>